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582AF8" w14:textId="77777777" w:rsidR="00124937" w:rsidRPr="00725553" w:rsidRDefault="00000000">
      <w:pPr>
        <w:pStyle w:val="Title"/>
        <w:rPr>
          <w:rFonts w:ascii="Helvetica" w:hAnsi="Helvetica" w:eastAsia="Helvetica" w:cs="Helvetica"/>
        </w:rPr>
      </w:pPr>
      <w:r w:rsidRPr="00725553">
        <w:rPr>
          <w:rFonts w:ascii="Helvetica" w:hAnsi="Helvetica" w:eastAsia="Helvetica" w:cs="Helvetica"/>
        </w:rPr>
        <w:t>Atelier South Summer School 2027</w:t>
      </w:r>
    </w:p>
    <w:p w14:paraId="73752B1B" w14:textId="77777777" w:rsidR="00124937" w:rsidRPr="00725553" w:rsidRDefault="00000000">
      <w:pPr>
        <w:pStyle w:val="Subtitle"/>
        <w:rPr>
          <w:rFonts w:ascii="Helvetica" w:hAnsi="Helvetica" w:eastAsia="Helvetica" w:cs="Helvetica"/>
        </w:rPr>
      </w:pPr>
      <w:r w:rsidRPr="00725553">
        <w:rPr>
          <w:rFonts w:ascii="Helvetica" w:hAnsi="Helvetica" w:eastAsia="Helvetica" w:cs="Helvetica"/>
        </w:rPr>
        <w:t>Course outline</w:t>
      </w:r>
      <w:r w:rsidRPr="00725553">
        <w:rPr>
          <w:rFonts w:ascii="Helvetica" w:hAnsi="Helvetica" w:eastAsia="Helvetica" w:cs="Helvetica"/>
        </w:rPr>
        <w:br/>
        <w:t>Common Ground North Dunedin 2050</w:t>
      </w:r>
    </w:p>
    <w:p w14:paraId="7103A1CB" w14:textId="77777777" w:rsidR="00124937" w:rsidRPr="00725553" w:rsidRDefault="00000000">
      <w:pPr>
        <w:rPr>
          <w:rFonts w:ascii="Helvetica" w:hAnsi="Helvetica" w:eastAsia="Helvetica" w:cs="Helvetica"/>
        </w:rPr>
      </w:pPr>
      <w:r w:rsidRPr="00725553">
        <w:rPr>
          <w:rFonts w:ascii="Helvetica" w:hAnsi="Helvetica" w:eastAsia="Helvetica" w:cs="Helvetica"/>
        </w:rPr>
        <w:t>Urban commoning and the future of the university neighbourhood</w:t>
      </w:r>
    </w:p>
    <w:p w14:paraId="3362D3AB"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Course purpose</w:t>
      </w:r>
    </w:p>
    <w:p w14:paraId="715F28C0" w14:textId="77777777" w:rsidR="00124937" w:rsidRPr="00725553" w:rsidRDefault="00000000">
      <w:pPr>
        <w:rPr>
          <w:rFonts w:ascii="Helvetica" w:hAnsi="Helvetica" w:eastAsia="Helvetica" w:cs="Helvetica"/>
        </w:rPr>
      </w:pPr>
      <w:r w:rsidRPr="00725553">
        <w:rPr>
          <w:rFonts w:ascii="Helvetica" w:hAnsi="Helvetica" w:eastAsia="Helvetica" w:cs="Helvetica"/>
        </w:rPr>
        <w:t>Work in a group to develop one integrated architectural proposal for adaptive reuse of the former Gregg’s factory in Ōtepoti Dunedin. Investigate how a shared place can support students, families and other residents, strengthen climate resilience and contribute to a more inclusive North Dunedin by 2050.</w:t>
      </w:r>
    </w:p>
    <w:p w14:paraId="6AAB4196" w14:textId="77777777" w:rsidR="00124937" w:rsidRPr="00725553" w:rsidRDefault="00000000">
      <w:pPr>
        <w:rPr>
          <w:rFonts w:ascii="Helvetica" w:hAnsi="Helvetica" w:eastAsia="Helvetica" w:cs="Helvetica"/>
        </w:rPr>
      </w:pPr>
      <w:r w:rsidRPr="00725553">
        <w:rPr>
          <w:rFonts w:ascii="Helvetica" w:hAnsi="Helvetica" w:eastAsia="Helvetica" w:cs="Helvetica"/>
        </w:rPr>
        <w:t>Your group’s outcome is a developed architectural design. Work from neighbourhood relationships and the whole building to a coordinated study of one significant area at 1:50, demonstrating how people use the space and how retained and new fabric work together.</w:t>
      </w:r>
    </w:p>
    <w:p w14:paraId="470010A7"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Course details</w:t>
      </w:r>
    </w:p>
    <w:tbl>
      <w:tblPr>
        <w:tblW w:w="0" w:type="auto"/>
        <w:jc w:val="center"/>
        <w:tblLayout w:type="fixed"/>
        <w:tblLook w:val="04A0" w:firstRow="1" w:lastRow="0" w:firstColumn="1" w:lastColumn="0" w:noHBand="0" w:noVBand="1"/>
      </w:tblPr>
      <w:tblGrid>
        <w:gridCol w:w="2268"/>
        <w:gridCol w:w="7370"/>
      </w:tblGrid>
      <w:tr w:rsidR="00124937" w:rsidRPr="00725553" w14:paraId="75614F04" w14:textId="77777777">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688BA57E"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Item</w:t>
            </w:r>
          </w:p>
        </w:tc>
        <w:tc>
          <w:tcPr>
            <w:tcW w:w="7370"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5058AFE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Details</w:t>
            </w:r>
          </w:p>
        </w:tc>
      </w:tr>
      <w:tr w:rsidR="00124937" w:rsidRPr="00725553" w14:paraId="23F449FB"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121305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Dates and delivery</w:t>
            </w:r>
          </w:p>
        </w:tc>
        <w:tc>
          <w:tcPr>
            <w:tcW w:w="737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61480BA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11–15 January 2027 online workshops</w:t>
            </w:r>
            <w:r w:rsidRPr="00725553">
              <w:rPr>
                <w:rFonts w:ascii="Helvetica" w:hAnsi="Helvetica" w:eastAsia="Helvetica" w:cs="Helvetica"/>
                <w:sz w:val="20"/>
              </w:rPr>
              <w:br/>
              <w:t>18–29 January 2027 on site in Dunedin</w:t>
            </w:r>
            <w:r w:rsidRPr="00725553">
              <w:rPr>
                <w:rFonts w:ascii="Helvetica" w:hAnsi="Helvetica" w:eastAsia="Helvetica" w:cs="Helvetica"/>
                <w:sz w:val="20"/>
              </w:rPr>
              <w:br/>
              <w:t>1–5 February 2027 online</w:t>
            </w:r>
            <w:r w:rsidRPr="00725553">
              <w:rPr>
                <w:rFonts w:ascii="Helvetica" w:hAnsi="Helvetica" w:eastAsia="Helvetica" w:cs="Helvetica"/>
                <w:sz w:val="20"/>
              </w:rPr>
              <w:br/>
              <w:t>Final online presentations Friday 5 February</w:t>
            </w:r>
          </w:p>
        </w:tc>
      </w:tr>
      <w:tr w:rsidR="00124937" w:rsidRPr="00725553" w14:paraId="2F4D5946"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DC6F820"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Course administration</w:t>
            </w:r>
          </w:p>
        </w:tc>
        <w:tc>
          <w:tcPr>
            <w:tcW w:w="737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529CA9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Course code [confirm]   Level [confirm]   Credits [confirm]</w:t>
            </w:r>
            <w:r w:rsidRPr="00725553">
              <w:rPr>
                <w:rFonts w:ascii="Helvetica" w:hAnsi="Helvetica" w:eastAsia="Helvetica" w:cs="Helvetica"/>
                <w:sz w:val="20"/>
              </w:rPr>
              <w:br/>
              <w:t>Convenor [confirm]   Contact [confirm]</w:t>
            </w:r>
            <w:r w:rsidRPr="00725553">
              <w:rPr>
                <w:rFonts w:ascii="Helvetica" w:hAnsi="Helvetica" w:eastAsia="Helvetica" w:cs="Helvetica"/>
                <w:sz w:val="20"/>
              </w:rPr>
              <w:br/>
              <w:t>Studio venue and online platform [confirm]</w:t>
            </w:r>
          </w:p>
        </w:tc>
      </w:tr>
      <w:tr w:rsidR="00124937" w:rsidRPr="00725553" w14:paraId="3CF6176D"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5668D2C"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Project organisation</w:t>
            </w:r>
          </w:p>
        </w:tc>
        <w:tc>
          <w:tcPr>
            <w:tcW w:w="737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A42BA6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Group design project. Proposed group size: 3–4 students, confirmed by the convenor at the start of the course.</w:t>
            </w:r>
          </w:p>
        </w:tc>
      </w:tr>
      <w:tr w:rsidR="00124937" w:rsidRPr="00725553" w14:paraId="420BA6B6"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7ED7CCD"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16"/>
              </w:rPr>
              <w:t>Assessment</w:t>
            </w:r>
          </w:p>
        </w:tc>
        <w:tc>
          <w:tcPr>
            <w:tcW w:w="737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CD993E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70% shared group work and 30% individual contribution, within six weighted criteria. One group portfolio and presentation; an individual reflection and contribution record from every student.</w:t>
            </w:r>
          </w:p>
        </w:tc>
      </w:tr>
      <w:tr w:rsidR="00124937" w:rsidRPr="00725553" w14:paraId="63A2379C"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54076AF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Companion materials</w:t>
            </w:r>
          </w:p>
        </w:tc>
        <w:tc>
          <w:tcPr>
            <w:tcW w:w="737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B9F26D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Marking sheet, A3 portfolio template and workshop timetable. Use the criterion codes C1–C6 and minimum-evidence codes M1–M6 throughout.</w:t>
            </w:r>
          </w:p>
        </w:tc>
      </w:tr>
    </w:tbl>
    <w:p w14:paraId="613C4146" w14:textId="77777777" w:rsidR="00124937" w:rsidRPr="00725553" w:rsidRDefault="00124937">
      <w:pPr>
        <w:spacing w:after="40" w:line="240" w:lineRule="auto"/>
        <w:rPr>
          <w:rFonts w:ascii="Helvetica" w:hAnsi="Helvetica" w:eastAsia="Helvetica" w:cs="Helvetica"/>
        </w:rPr>
      </w:pPr>
    </w:p>
    <w:p w14:paraId="5FA0FFF5"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How to use the course materials</w:t>
      </w:r>
    </w:p>
    <w:p w14:paraId="3E883890" w14:textId="77777777" w:rsidR="00124937" w:rsidRPr="00725553" w:rsidRDefault="00000000">
      <w:pPr>
        <w:rPr>
          <w:rFonts w:ascii="Helvetica" w:hAnsi="Helvetica" w:eastAsia="Helvetica" w:cs="Helvetica"/>
        </w:rPr>
      </w:pPr>
      <w:r w:rsidRPr="00725553">
        <w:rPr>
          <w:rFonts w:ascii="Helvetica" w:hAnsi="Helvetica" w:eastAsia="Helvetica" w:cs="Helvetica"/>
        </w:rPr>
        <w:t>This outline defines the task, learning outcomes, architectural standard, deliverables and rubric. The portfolio template organises the evidence; the timetable stages its development; the marking sheet records assessment and feedback against the same requirements.</w:t>
      </w:r>
    </w:p>
    <w:p w14:paraId="0AEECEFF"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Administrative arrangements</w:t>
      </w:r>
    </w:p>
    <w:p w14:paraId="0687C895" w14:textId="77777777" w:rsidR="00124937" w:rsidRPr="00725553" w:rsidRDefault="00000000">
      <w:pPr>
        <w:rPr>
          <w:rFonts w:ascii="Helvetica" w:hAnsi="Helvetica" w:eastAsia="Helvetica" w:cs="Helvetica"/>
        </w:rPr>
      </w:pPr>
      <w:r w:rsidRPr="00725553">
        <w:rPr>
          <w:rFonts w:ascii="Helvetica" w:hAnsi="Helvetica" w:eastAsia="Helvetica" w:cs="Helvetica"/>
        </w:rPr>
        <w:t>The teaching dates and 1:50 development scale are fixed for this pack. Daily session times and the submission times below are proposed operational arrangements. The convenor will confirm these, course administration and institutional policies before the course begins. Credit-related workload is not specified until credits are confirmed.</w:t>
      </w:r>
    </w:p>
    <w:p w14:paraId="2226BB98"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42F78A4A"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Learning outcomes and learning approach</w:t>
      </w:r>
    </w:p>
    <w:p w14:paraId="2D810B15" w14:textId="77777777" w:rsidR="00124937" w:rsidRPr="00725553" w:rsidRDefault="00000000">
      <w:pPr>
        <w:rPr>
          <w:rFonts w:ascii="Helvetica" w:hAnsi="Helvetica" w:eastAsia="Helvetica" w:cs="Helvetica"/>
        </w:rPr>
      </w:pPr>
      <w:r w:rsidRPr="00725553">
        <w:rPr>
          <w:rFonts w:ascii="Helvetica" w:hAnsi="Helvetica" w:eastAsia="Helvetica" w:cs="Helvetica"/>
        </w:rPr>
        <w:t>By the end of the course you should be able to demonstrate the following through the group design and your identifiable contribution. These studio outcomes must be mapped to the approved course specification by the convenor before issue.</w:t>
      </w:r>
    </w:p>
    <w:tbl>
      <w:tblPr>
        <w:tblW w:w="0" w:type="auto"/>
        <w:jc w:val="center"/>
        <w:tblLayout w:type="fixed"/>
        <w:tblLook w:val="04A0" w:firstRow="1" w:lastRow="0" w:firstColumn="1" w:lastColumn="0" w:noHBand="0" w:noVBand="1"/>
      </w:tblPr>
      <w:tblGrid>
        <w:gridCol w:w="1134"/>
        <w:gridCol w:w="7257"/>
        <w:gridCol w:w="1247"/>
      </w:tblGrid>
      <w:tr w:rsidR="00124937" w:rsidRPr="00725553" w14:paraId="1CC73719" w14:textId="77777777">
        <w:trPr>
          <w:cantSplit/>
          <w:tblHeader/>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4A92E212"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20"/>
              </w:rPr>
              <w:t>Outcome</w:t>
            </w:r>
          </w:p>
        </w:tc>
        <w:tc>
          <w:tcPr>
            <w:tcW w:w="7257"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7FF7A447"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What you will demonstrate</w:t>
            </w:r>
          </w:p>
        </w:tc>
        <w:tc>
          <w:tcPr>
            <w:tcW w:w="1247"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5A662C88"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16"/>
              </w:rPr>
              <w:t>Assessment</w:t>
            </w:r>
          </w:p>
        </w:tc>
      </w:tr>
      <w:tr w:rsidR="00124937" w:rsidRPr="00725553" w14:paraId="28511365" w14:textId="77777777">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21997DD2"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LO1</w:t>
            </w:r>
          </w:p>
        </w:tc>
        <w:tc>
          <w:tcPr>
            <w:tcW w:w="725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187C9C8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Form a defensible project brief from site evidence, urban research, users, precedents and a reconciled spatial programme.</w:t>
            </w:r>
          </w:p>
        </w:tc>
        <w:tc>
          <w:tcPr>
            <w:tcW w:w="124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F8EE76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C5</w:t>
            </w:r>
          </w:p>
        </w:tc>
      </w:tr>
      <w:tr w:rsidR="00124937" w:rsidRPr="00725553" w14:paraId="466B2FA7" w14:textId="77777777">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961D897"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LO2</w:t>
            </w:r>
          </w:p>
        </w:tc>
        <w:tc>
          <w:tcPr>
            <w:tcW w:w="725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9BEFCF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Develop a coherent adaptive reuse design from neighbourhood scale to a coordinated architectural study at 1:50.</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EFB369E"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C1</w:t>
            </w:r>
          </w:p>
        </w:tc>
      </w:tr>
      <w:tr w:rsidR="00124937" w:rsidRPr="00725553" w14:paraId="513E30CA" w14:textId="77777777">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190FF4D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LO3</w:t>
            </w:r>
          </w:p>
        </w:tc>
        <w:tc>
          <w:tcPr>
            <w:tcW w:w="725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14315193"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Test climate adaptation and human and ecological resilience, distinguishing these from carbon reduction.</w:t>
            </w:r>
          </w:p>
        </w:tc>
        <w:tc>
          <w:tcPr>
            <w:tcW w:w="124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31329FA"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C2</w:t>
            </w:r>
          </w:p>
        </w:tc>
      </w:tr>
      <w:tr w:rsidR="00124937" w:rsidRPr="00725553" w14:paraId="2E7E6DB0" w14:textId="77777777">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9E28E79"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LO4</w:t>
            </w:r>
          </w:p>
        </w:tc>
        <w:tc>
          <w:tcPr>
            <w:tcW w:w="725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38090AC"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Translate just transitions and spatial justice into decisions about access, benefits, burdens and governance.</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63AF2B8"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C3</w:t>
            </w:r>
          </w:p>
        </w:tc>
      </w:tr>
      <w:tr w:rsidR="00124937" w:rsidRPr="00725553" w14:paraId="729BC2EC" w14:textId="77777777">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342C18B"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LO5</w:t>
            </w:r>
          </w:p>
        </w:tc>
        <w:tc>
          <w:tcPr>
            <w:tcW w:w="725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307CBB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Design for urban commoning across everyday practices, the neighbourhood and wider urban systems.</w:t>
            </w:r>
          </w:p>
        </w:tc>
        <w:tc>
          <w:tcPr>
            <w:tcW w:w="124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D1ED345"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C4</w:t>
            </w:r>
          </w:p>
        </w:tc>
      </w:tr>
      <w:tr w:rsidR="00124937" w:rsidRPr="00725553" w14:paraId="56825BC9" w14:textId="77777777">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C91D52A"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LO6</w:t>
            </w:r>
          </w:p>
        </w:tc>
        <w:tc>
          <w:tcPr>
            <w:tcW w:w="725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1AB88A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Contribute responsibly to a group design, coordinate interdependent work, communicate clearly and critically evaluate your own decisions and contribution.</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CA5FA5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C6</w:t>
            </w:r>
          </w:p>
        </w:tc>
      </w:tr>
    </w:tbl>
    <w:p w14:paraId="620808FB" w14:textId="77777777" w:rsidR="00124937" w:rsidRPr="00725553" w:rsidRDefault="00124937">
      <w:pPr>
        <w:spacing w:after="40" w:line="240" w:lineRule="auto"/>
        <w:rPr>
          <w:rFonts w:ascii="Helvetica" w:hAnsi="Helvetica" w:eastAsia="Helvetica" w:cs="Helvetica"/>
        </w:rPr>
      </w:pPr>
    </w:p>
    <w:p w14:paraId="694D72A7"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Studio method</w:t>
      </w:r>
    </w:p>
    <w:p w14:paraId="5B3458F8" w14:textId="77777777" w:rsidR="00124937" w:rsidRPr="00725553" w:rsidRDefault="00000000">
      <w:pPr>
        <w:rPr>
          <w:rFonts w:ascii="Helvetica" w:hAnsi="Helvetica" w:eastAsia="Helvetica" w:cs="Helvetica"/>
        </w:rPr>
      </w:pPr>
      <w:r w:rsidRPr="00725553">
        <w:rPr>
          <w:rFonts w:ascii="Helvetica" w:hAnsi="Helvetica" w:eastAsia="Helvetica" w:cs="Helvetica"/>
        </w:rPr>
        <w:t>Move repeatedly between evidence, drawings and evaluation. Start with a programme hypothesis, compare alternatives, test the preferred direction and revise it through reviews. Record how research or feedback changes a spatial decision rather than accumulating unconnected analysis.</w:t>
      </w:r>
    </w:p>
    <w:p w14:paraId="0245F5F1" w14:textId="77777777" w:rsidR="00124937" w:rsidRPr="00725553" w:rsidRDefault="00000000">
      <w:pPr>
        <w:rPr>
          <w:rFonts w:ascii="Helvetica" w:hAnsi="Helvetica" w:eastAsia="Helvetica" w:cs="Helvetica"/>
        </w:rPr>
      </w:pPr>
      <w:r w:rsidRPr="00725553">
        <w:rPr>
          <w:rFonts w:ascii="Helvetica" w:hAnsi="Helvetica" w:eastAsia="Helvetica" w:cs="Helvetica"/>
        </w:rPr>
        <w:t>Work at three scales: micro, the everyday activity or encounter; meso, the building, block and walkable neighbourhood; macro, the ecological, infrastructure or governance system that makes it possible. Trace one commoning activity through all three.</w:t>
      </w:r>
    </w:p>
    <w:p w14:paraId="50F8DBD7"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Collaboration and authorship</w:t>
      </w:r>
    </w:p>
    <w:p w14:paraId="7616B746" w14:textId="77777777" w:rsidR="00124937" w:rsidRPr="00725553" w:rsidRDefault="00000000">
      <w:pPr>
        <w:rPr>
          <w:rFonts w:ascii="Helvetica" w:hAnsi="Helvetica" w:eastAsia="Helvetica" w:cs="Helvetica"/>
        </w:rPr>
      </w:pPr>
      <w:r w:rsidRPr="00725553">
        <w:rPr>
          <w:rFonts w:ascii="Helvetica" w:hAnsi="Helvetica" w:eastAsia="Helvetica" w:cs="Helvetica"/>
        </w:rPr>
        <w:t>Produce one coherent group scheme with shared base drawings, agreed design decisions and visible individual authorship. Each member must contribute to architectural development at 1:50 and demonstrate understanding of the complete M1–M6 standard. Research, graphics or administration alone do not meet the individual architectural requirement.</w:t>
      </w:r>
    </w:p>
    <w:p w14:paraId="6081E60C"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Review and reflection</w:t>
      </w:r>
    </w:p>
    <w:p w14:paraId="726350AB" w14:textId="77777777" w:rsidR="00124937" w:rsidRPr="00725553" w:rsidRDefault="00000000">
      <w:pPr>
        <w:rPr>
          <w:rFonts w:ascii="Helvetica" w:hAnsi="Helvetica" w:eastAsia="Helvetica" w:cs="Helvetica"/>
        </w:rPr>
      </w:pPr>
      <w:r w:rsidRPr="00725553">
        <w:rPr>
          <w:rFonts w:ascii="Helvetica" w:hAnsi="Helvetica" w:eastAsia="Helvetica" w:cs="Helvetica"/>
        </w:rPr>
        <w:t>Bring drawings or models that expose a decision. Keep a dated log of the issue, evidence, feedback, action and next test. After each review, identify the most consequential unresolved question and how you will investigate it. Use the same log to support your final reflection.</w:t>
      </w:r>
    </w:p>
    <w:p w14:paraId="671AA90E"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04D45E5F"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Group organisation and individual responsibility</w:t>
      </w:r>
    </w:p>
    <w:p w14:paraId="623525A5" w14:textId="77777777" w:rsidR="00124937" w:rsidRPr="00725553" w:rsidRDefault="00000000">
      <w:pPr>
        <w:rPr>
          <w:rFonts w:ascii="Helvetica" w:hAnsi="Helvetica" w:eastAsia="Helvetica" w:cs="Helvetica"/>
        </w:rPr>
      </w:pPr>
      <w:r w:rsidRPr="00725553">
        <w:rPr>
          <w:rFonts w:ascii="Helvetica" w:hAnsi="Helvetica" w:eastAsia="Helvetica" w:cs="Helvetica"/>
        </w:rPr>
        <w:t>The project is undertaken in groups. The proposed group size is 3–4 students; the convenor confirms membership in Week 1 and adjusts scope where necessary. Each group develops one shared programme, design proposition, coordinated model or drawing base, portfolio and presentation.</w:t>
      </w:r>
    </w:p>
    <w:p w14:paraId="2BF2218E"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Group agreement by Friday 15 January</w:t>
      </w:r>
    </w:p>
    <w:p w14:paraId="02FE0CAC" w14:textId="77777777" w:rsidR="00124937" w:rsidRPr="00725553" w:rsidRDefault="00000000">
      <w:pPr>
        <w:rPr>
          <w:rFonts w:ascii="Helvetica" w:hAnsi="Helvetica" w:eastAsia="Helvetica" w:cs="Helvetica"/>
        </w:rPr>
      </w:pPr>
      <w:r w:rsidRPr="00725553">
        <w:rPr>
          <w:rFonts w:ascii="Helvetica" w:hAnsi="Helvetica" w:eastAsia="Helvetica" w:cs="Helvetica"/>
        </w:rPr>
        <w:t>Record members, communication arrangements, meeting times, file naming and version control, task allocation, attendance arrangements and a process for resolving disagreement. Agree how decisions will be recorded and how members will support access needs or approved absences. Submit the agreement with the first brief review.</w:t>
      </w:r>
    </w:p>
    <w:p w14:paraId="6738CBEB"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Share responsibility and coordinate the design</w:t>
      </w:r>
    </w:p>
    <w:p w14:paraId="08F3E160" w14:textId="77777777" w:rsidR="00124937" w:rsidRPr="00725553" w:rsidRDefault="00000000">
      <w:pPr>
        <w:rPr>
          <w:rFonts w:ascii="Helvetica" w:hAnsi="Helvetica" w:eastAsia="Helvetica" w:cs="Helvetica"/>
        </w:rPr>
      </w:pPr>
      <w:r w:rsidRPr="00725553">
        <w:rPr>
          <w:rFonts w:ascii="Helvetica" w:hAnsi="Helvetica" w:eastAsia="Helvetica" w:cs="Helvetica"/>
        </w:rPr>
        <w:t>Rotate coordination, recording and review roles. Allocate work to expose each member to research, design and evaluation; do not assign anyone exclusively to rendering, note-taking or administration. Hold a short daily check-in and a weekly coordination review. Keep a decision log and a contribution record with dated drawing or model references.</w:t>
      </w:r>
    </w:p>
    <w:p w14:paraId="0F19D2AE" w14:textId="77777777" w:rsidR="00124937" w:rsidRPr="00725553" w:rsidRDefault="00000000">
      <w:pPr>
        <w:rPr>
          <w:rFonts w:ascii="Helvetica" w:hAnsi="Helvetica" w:eastAsia="Helvetica" w:cs="Helvetica"/>
        </w:rPr>
      </w:pPr>
      <w:r w:rsidRPr="00725553">
        <w:rPr>
          <w:rFonts w:ascii="Helvetica" w:hAnsi="Helvetica" w:eastAsia="Helvetica" w:cs="Helvetica"/>
        </w:rPr>
        <w:t>By 22 January, agree one significant group study area at 1:50 and name each member’s substantial architectural responsibility within it. Responsibilities may concern occupation and access, retained/new structure, enclosure and environmental response, or the public interface. Their geometry, levels, materials and environmental logic must be coordinated together.</w:t>
      </w:r>
    </w:p>
    <w:p w14:paraId="6CB41687"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Minimum evidence from every student</w:t>
      </w:r>
    </w:p>
    <w:p w14:paraId="53D13785" w14:textId="77777777" w:rsidR="00124937" w:rsidRPr="00725553" w:rsidRDefault="00000000">
      <w:pPr>
        <w:pStyle w:val="ListBullet"/>
        <w:rPr>
          <w:rFonts w:ascii="Helvetica" w:hAnsi="Helvetica" w:eastAsia="Helvetica" w:cs="Helvetica"/>
        </w:rPr>
      </w:pPr>
      <w:r w:rsidRPr="00725553">
        <w:rPr>
          <w:rFonts w:ascii="Helvetica" w:hAnsi="Helvetica" w:eastAsia="Helvetica" w:cs="Helvetica"/>
        </w:rPr>
        <w:t>Produce an identifiable, substantial part of the 1:50 architectural work: at least one dimensioned drawing or a clearly credited substantial part of a coordinated drawing. Record design authorship and checking responsibilities.</w:t>
      </w:r>
    </w:p>
    <w:p w14:paraId="1C4BDA89" w14:textId="77777777" w:rsidR="00124937" w:rsidRPr="00725553" w:rsidRDefault="00000000">
      <w:pPr>
        <w:pStyle w:val="ListBullet"/>
        <w:rPr>
          <w:rFonts w:ascii="Helvetica" w:hAnsi="Helvetica" w:eastAsia="Helvetica" w:cs="Helvetica"/>
        </w:rPr>
      </w:pPr>
      <w:r w:rsidRPr="00725553">
        <w:rPr>
          <w:rFonts w:ascii="Helvetica" w:hAnsi="Helvetica" w:eastAsia="Helvetica" w:cs="Helvetica"/>
        </w:rPr>
        <w:t>Cross-check that contribution against the group’s companion plan, two sections and relevant elevation; explain how it relates to all six minimum requirements M1–M6. A complete separate drawing set from each member is not required.</w:t>
      </w:r>
    </w:p>
    <w:p w14:paraId="250B7EDB" w14:textId="77777777" w:rsidR="00124937" w:rsidRPr="00725553" w:rsidRDefault="00000000">
      <w:pPr>
        <w:pStyle w:val="ListBullet"/>
        <w:rPr>
          <w:rFonts w:ascii="Helvetica" w:hAnsi="Helvetica" w:eastAsia="Helvetica" w:cs="Helvetica"/>
        </w:rPr>
      </w:pPr>
      <w:r w:rsidRPr="00725553">
        <w:rPr>
          <w:rFonts w:ascii="Helvetica" w:hAnsi="Helvetica" w:eastAsia="Helvetica" w:cs="Helvetica"/>
        </w:rPr>
        <w:t>Present part of the shared project, answer individual questions, and submit your own reflection and contribution record. Reference evidence of research, climate reasoning and a justice decision as well as architectural resolution.</w:t>
      </w:r>
    </w:p>
    <w:p w14:paraId="450E5D2B"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Evidence of participation and resolving difficulty</w:t>
      </w:r>
    </w:p>
    <w:p w14:paraId="53190AA5" w14:textId="77777777" w:rsidR="00124937" w:rsidRPr="00725553" w:rsidRDefault="00000000">
      <w:pPr>
        <w:rPr>
          <w:rFonts w:ascii="Helvetica" w:hAnsi="Helvetica" w:eastAsia="Helvetica" w:cs="Helvetica"/>
        </w:rPr>
      </w:pPr>
      <w:r w:rsidRPr="00725553">
        <w:rPr>
          <w:rFonts w:ascii="Helvetica" w:hAnsi="Helvetica" w:eastAsia="Helvetica" w:cs="Helvetica"/>
        </w:rPr>
        <w:t>Review contributions at each milestone and raise unequal participation or unresolved conflict with the tutor early. Use dated work and decisions to establish what happened. Peer feedback informs the assessor’s judgement; it is not a vote or an automatic multiplier. The assessor judges the individual 30% from the work, reflection and questions, and records reasons.</w:t>
      </w:r>
    </w:p>
    <w:p w14:paraId="02BA357C" w14:textId="77777777" w:rsidR="00124937" w:rsidRPr="00725553" w:rsidRDefault="00000000">
      <w:pPr>
        <w:rPr>
          <w:rFonts w:ascii="Helvetica" w:hAnsi="Helvetica" w:eastAsia="Helvetica" w:cs="Helvetica"/>
        </w:rPr>
      </w:pPr>
      <w:r w:rsidRPr="00725553">
        <w:rPr>
          <w:rFonts w:ascii="Helvetica" w:hAnsi="Helvetica" w:eastAsia="Helvetica" w:cs="Helvetica"/>
        </w:rPr>
        <w:t>Changes to membership, absence arrangements or submission scope must be agreed with the convenor under institutional policy. Record the revised allocation so that every student has a fair opportunity to demonstrate the same outcomes.</w:t>
      </w:r>
    </w:p>
    <w:p w14:paraId="3CA28BD9"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42DBC758"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Site and evidence</w:t>
      </w:r>
    </w:p>
    <w:p w14:paraId="047B5EB4" w14:textId="77777777" w:rsidR="00124937" w:rsidRPr="00725553" w:rsidRDefault="00000000">
      <w:pPr>
        <w:rPr>
          <w:rFonts w:ascii="Helvetica" w:hAnsi="Helvetica" w:eastAsia="Helvetica" w:cs="Helvetica"/>
        </w:rPr>
      </w:pPr>
      <w:r w:rsidRPr="00725553">
        <w:rPr>
          <w:rFonts w:ascii="Helvetica" w:hAnsi="Helvetica" w:eastAsia="Helvetica" w:cs="Helvetica"/>
        </w:rPr>
        <w:t>Keep a source register distinguishing verified records, attributed reporting, observations, design assumptions and unresolved questions. Date consequential claims and state what their sources can and cannot establish.</w:t>
      </w:r>
    </w:p>
    <w:tbl>
      <w:tblPr>
        <w:tblW w:w="0" w:type="auto"/>
        <w:jc w:val="center"/>
        <w:tblLayout w:type="fixed"/>
        <w:tblLook w:val="04A0" w:firstRow="1" w:lastRow="0" w:firstColumn="1" w:lastColumn="0" w:noHBand="0" w:noVBand="1"/>
      </w:tblPr>
      <w:tblGrid>
        <w:gridCol w:w="1701"/>
        <w:gridCol w:w="3969"/>
        <w:gridCol w:w="3969"/>
      </w:tblGrid>
      <w:tr w:rsidR="00124937" w:rsidRPr="00725553" w14:paraId="3C72E167" w14:textId="77777777">
        <w:trPr>
          <w:cantSplit/>
          <w:tblHeade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0BECC9CE"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Status</w:t>
            </w:r>
          </w:p>
        </w:tc>
        <w:tc>
          <w:tcPr>
            <w:tcW w:w="3969"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16068FF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Site information</w:t>
            </w:r>
          </w:p>
        </w:tc>
        <w:tc>
          <w:tcPr>
            <w:tcW w:w="3969"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14CDF66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Design implication</w:t>
            </w:r>
          </w:p>
        </w:tc>
      </w:tr>
      <w:tr w:rsidR="00124937" w:rsidRPr="00725553" w14:paraId="6C073FEB"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1E3DFC4B"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Historical record</w:t>
            </w:r>
          </w:p>
        </w:tc>
        <w:tc>
          <w:tcPr>
            <w:tcW w:w="3969"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B0494D9"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DCC’s thematic history locates the consolidated Gregg’s operation in Forth Street in the mid-1920s. [S1]</w:t>
            </w:r>
          </w:p>
        </w:tc>
        <w:tc>
          <w:tcPr>
            <w:tcW w:w="3969"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9CF2D3D"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Study its industrial fabric and urban relationships; the history does not establish current condition or heritage protection.</w:t>
            </w:r>
          </w:p>
        </w:tc>
      </w:tr>
      <w:tr w:rsidR="00124937" w:rsidRPr="00725553" w14:paraId="2CD317EB"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D2C1480"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Attributed reporting</w:t>
            </w:r>
          </w:p>
        </w:tc>
        <w:tc>
          <w:tcPr>
            <w:tcW w:w="3969"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F1B758D"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The Otago Daily Times reported a closure announcement on 27 March 2026, updated 16 July 2026. [S2]</w:t>
            </w:r>
          </w:p>
        </w:tc>
        <w:tc>
          <w:tcPr>
            <w:tcW w:w="3969"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B79703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Recheck current operational status. An announcement is not proof of vacancy, ownership, sale or permission to enter.</w:t>
            </w:r>
          </w:p>
        </w:tc>
      </w:tr>
      <w:tr w:rsidR="00124937" w:rsidRPr="00725553" w14:paraId="47B24499"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9496AB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Studio premise</w:t>
            </w:r>
          </w:p>
        </w:tc>
        <w:tc>
          <w:tcPr>
            <w:tcW w:w="3969"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508FA7E0"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Adaptive reuse of the former Gregg’s factory is the project scenario.</w:t>
            </w:r>
          </w:p>
        </w:tc>
        <w:tc>
          <w:tcPr>
            <w:tcW w:w="3969"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2281B7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Proposed client, uses, access and governance are design propositions unless confirmed.</w:t>
            </w:r>
          </w:p>
        </w:tc>
      </w:tr>
      <w:tr w:rsidR="00124937" w:rsidRPr="00725553" w14:paraId="19213573"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1CFE8D6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To investigate</w:t>
            </w:r>
          </w:p>
        </w:tc>
        <w:tc>
          <w:tcPr>
            <w:tcW w:w="3969"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C8390DE"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Boundary, title, geometry, structural condition, hazardous materials, contamination, heritage status and site-specific hazard exposure.</w:t>
            </w:r>
          </w:p>
        </w:tc>
        <w:tc>
          <w:tcPr>
            <w:tcW w:w="3969"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E59766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Use authorised base information and current records; label unresolved dimensions and technical assumptions.</w:t>
            </w:r>
          </w:p>
        </w:tc>
      </w:tr>
    </w:tbl>
    <w:p w14:paraId="2A0C4E4D" w14:textId="77777777" w:rsidR="00124937" w:rsidRPr="00725553" w:rsidRDefault="00124937">
      <w:pPr>
        <w:spacing w:after="40" w:line="240" w:lineRule="auto"/>
        <w:rPr>
          <w:rFonts w:ascii="Helvetica" w:hAnsi="Helvetica" w:eastAsia="Helvetica" w:cs="Helvetica"/>
        </w:rPr>
      </w:pPr>
    </w:p>
    <w:p w14:paraId="3524AB6D"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Required baseline</w:t>
      </w:r>
    </w:p>
    <w:p w14:paraId="5AD14B10" w14:textId="77777777" w:rsidR="00124937" w:rsidRPr="00725553" w:rsidRDefault="00000000">
      <w:pPr>
        <w:rPr>
          <w:rFonts w:ascii="Helvetica" w:hAnsi="Helvetica" w:eastAsia="Helvetica" w:cs="Helvetica"/>
        </w:rPr>
      </w:pPr>
      <w:r w:rsidRPr="00725553">
        <w:rPr>
          <w:rFonts w:ascii="Helvetica" w:hAnsi="Helvetica" w:eastAsia="Helvetica" w:cs="Helvetica"/>
        </w:rPr>
        <w:t>Map the agreed site boundary, neighbouring uses, movement, public transport, servicing, water and landscape systems. Record existing volumes, levels, structural rhythm, envelope and significant traces of industrial work. Identify information that is measured, provided, observed or inferred.</w:t>
      </w:r>
    </w:p>
    <w:p w14:paraId="2A39962E" w14:textId="77777777" w:rsidR="00124937" w:rsidRPr="00725553" w:rsidRDefault="00000000">
      <w:pPr>
        <w:rPr>
          <w:rFonts w:ascii="Helvetica" w:hAnsi="Helvetica" w:eastAsia="Helvetica" w:cs="Helvetica"/>
        </w:rPr>
      </w:pPr>
      <w:r w:rsidRPr="00725553">
        <w:rPr>
          <w:rFonts w:ascii="Helvetica" w:hAnsi="Helvetica" w:eastAsia="Helvetica" w:cs="Helvetica"/>
        </w:rPr>
        <w:t>Check current DCC 2GP provisions and maps and relevant ORC climate and natural hazard information. [S3–S5] Assess the Forth Street site on its own evidence; do not transfer flood or groundwater conditions from another part of Dunedin. Separate current conditions from future scenarios.</w:t>
      </w:r>
    </w:p>
    <w:p w14:paraId="7E4335BA"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Access and local relationships</w:t>
      </w:r>
    </w:p>
    <w:p w14:paraId="73712AA9" w14:textId="77777777" w:rsidR="00124937" w:rsidRPr="00725553" w:rsidRDefault="00000000">
      <w:pPr>
        <w:rPr>
          <w:rFonts w:ascii="Helvetica" w:hAnsi="Helvetica" w:eastAsia="Helvetica" w:cs="Helvetica"/>
        </w:rPr>
      </w:pPr>
      <w:r w:rsidRPr="00725553">
        <w:rPr>
          <w:rFonts w:ascii="Helvetica" w:hAnsi="Helvetica" w:eastAsia="Helvetica" w:cs="Helvetica"/>
        </w:rPr>
        <w:t>The teaching team will arrange any site entry, surveys and engagement through authorised hosts. If access is unavailable, use public viewpoints and documented base information, and explain the resulting limits. Desktop research does not establish building safety or statutory compliance.</w:t>
      </w:r>
    </w:p>
    <w:p w14:paraId="577E8C9B" w14:textId="77777777" w:rsidR="00124937" w:rsidRPr="00725553" w:rsidRDefault="00000000">
      <w:pPr>
        <w:rPr>
          <w:rFonts w:ascii="Helvetica" w:hAnsi="Helvetica" w:eastAsia="Helvetica" w:cs="Helvetica"/>
        </w:rPr>
      </w:pPr>
      <w:r w:rsidRPr="00725553">
        <w:rPr>
          <w:rFonts w:ascii="Helvetica" w:hAnsi="Helvetica" w:eastAsia="Helvetica" w:cs="Helvetica"/>
        </w:rPr>
        <w:t>Mana whenua are rights holders. Follow relationships and protocols established for this site, distinguish engagement undertaken from engagement proposed, and do not imply endorsement. Public Ngāi Tahu accounts of other Dunedin projects offer context without conferring permission to reuse narratives. [S6]</w:t>
      </w:r>
    </w:p>
    <w:p w14:paraId="2CE4EFD9"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65D233FE"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Themes and architectural programme</w:t>
      </w:r>
    </w:p>
    <w:p w14:paraId="4C218126"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Urban commoning</w:t>
      </w:r>
    </w:p>
    <w:p w14:paraId="3C645B88" w14:textId="77777777" w:rsidR="00124937" w:rsidRPr="00725553" w:rsidRDefault="00000000">
      <w:pPr>
        <w:rPr>
          <w:rFonts w:ascii="Helvetica" w:hAnsi="Helvetica" w:eastAsia="Helvetica" w:cs="Helvetica"/>
        </w:rPr>
      </w:pPr>
      <w:r w:rsidRPr="00725553">
        <w:rPr>
          <w:rFonts w:ascii="Helvetica" w:hAnsi="Helvetica" w:eastAsia="Helvetica" w:cs="Helvetica"/>
        </w:rPr>
        <w:t>Commoning means the practices and relationships through which people share and care for resources. Investigate land, rooms and buildings, landscape, infrastructure, knowledge and social networks. Define who can use the resource, who is excluded, who decides, who funds and maintains it, and how conflict is resolved.</w:t>
      </w:r>
    </w:p>
    <w:p w14:paraId="71184A3E" w14:textId="77777777" w:rsidR="00124937" w:rsidRPr="00725553" w:rsidRDefault="00000000">
      <w:pPr>
        <w:rPr>
          <w:rFonts w:ascii="Helvetica" w:hAnsi="Helvetica" w:eastAsia="Helvetica" w:cs="Helvetica"/>
        </w:rPr>
      </w:pPr>
      <w:r w:rsidRPr="00725553">
        <w:rPr>
          <w:rFonts w:ascii="Helvetica" w:hAnsi="Helvetica" w:eastAsia="Helvetica" w:cs="Helvetica"/>
        </w:rPr>
        <w:t xml:space="preserve">Use the sequence resource </w:t>
      </w:r>
      <w:r w:rsidRPr="00725553">
        <w:rPr>
          <w:rFonts w:ascii="Helvetica" w:hAnsi="Helvetica" w:eastAsia="Helvetica" w:cs="Helvetica"/>
        </w:rPr>
        <w:t>→</w:t>
      </w:r>
      <w:r w:rsidRPr="00725553">
        <w:rPr>
          <w:rFonts w:ascii="Helvetica" w:hAnsi="Helvetica" w:eastAsia="Helvetica" w:cs="Helvetica"/>
        </w:rPr>
        <w:t xml:space="preserve"> access </w:t>
      </w:r>
      <w:r w:rsidRPr="00725553">
        <w:rPr>
          <w:rFonts w:ascii="Helvetica" w:hAnsi="Helvetica" w:eastAsia="Helvetica" w:cs="Helvetica"/>
        </w:rPr>
        <w:t>→</w:t>
      </w:r>
      <w:r w:rsidRPr="00725553">
        <w:rPr>
          <w:rFonts w:ascii="Helvetica" w:hAnsi="Helvetica" w:eastAsia="Helvetica" w:cs="Helvetica"/>
        </w:rPr>
        <w:t xml:space="preserve"> sharing </w:t>
      </w:r>
      <w:r w:rsidRPr="00725553">
        <w:rPr>
          <w:rFonts w:ascii="Helvetica" w:hAnsi="Helvetica" w:eastAsia="Helvetica" w:cs="Helvetica"/>
        </w:rPr>
        <w:t>→</w:t>
      </w:r>
      <w:r w:rsidRPr="00725553">
        <w:rPr>
          <w:rFonts w:ascii="Helvetica" w:hAnsi="Helvetica" w:eastAsia="Helvetica" w:cs="Helvetica"/>
        </w:rPr>
        <w:t xml:space="preserve"> commoning </w:t>
      </w:r>
      <w:r w:rsidRPr="00725553">
        <w:rPr>
          <w:rFonts w:ascii="Helvetica" w:hAnsi="Helvetica" w:eastAsia="Helvetica" w:cs="Helvetica"/>
        </w:rPr>
        <w:t>→</w:t>
      </w:r>
      <w:r w:rsidRPr="00725553">
        <w:rPr>
          <w:rFonts w:ascii="Helvetica" w:hAnsi="Helvetica" w:eastAsia="Helvetica" w:cs="Helvetica"/>
        </w:rPr>
        <w:t xml:space="preserve"> stewardship </w:t>
      </w:r>
      <w:r w:rsidRPr="00725553">
        <w:rPr>
          <w:rFonts w:ascii="Helvetica" w:hAnsi="Helvetica" w:eastAsia="Helvetica" w:cs="Helvetica"/>
        </w:rPr>
        <w:t>→</w:t>
      </w:r>
      <w:r w:rsidRPr="00725553">
        <w:rPr>
          <w:rFonts w:ascii="Helvetica" w:hAnsi="Helvetica" w:eastAsia="Helvetica" w:cs="Helvetica"/>
        </w:rPr>
        <w:t xml:space="preserve"> network </w:t>
      </w:r>
      <w:r w:rsidRPr="00725553">
        <w:rPr>
          <w:rFonts w:ascii="Helvetica" w:hAnsi="Helvetica" w:eastAsia="Helvetica" w:cs="Helvetica"/>
        </w:rPr>
        <w:t>→</w:t>
      </w:r>
      <w:r w:rsidRPr="00725553">
        <w:rPr>
          <w:rFonts w:ascii="Helvetica" w:hAnsi="Helvetica" w:eastAsia="Helvetica" w:cs="Helvetica"/>
        </w:rPr>
        <w:t xml:space="preserve"> urban transformation. Explain how the factory connects to other places, supports continuity beyond the academic year and makes a credible contribution to North Dunedin in 2050.</w:t>
      </w:r>
    </w:p>
    <w:p w14:paraId="4BE5248F"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Just transitions and spatial justice</w:t>
      </w:r>
    </w:p>
    <w:p w14:paraId="30B85B57" w14:textId="77777777" w:rsidR="00124937" w:rsidRPr="00725553" w:rsidRDefault="00000000">
      <w:pPr>
        <w:rPr>
          <w:rFonts w:ascii="Helvetica" w:hAnsi="Helvetica" w:eastAsia="Helvetica" w:cs="Helvetica"/>
        </w:rPr>
      </w:pPr>
      <w:r w:rsidRPr="00725553">
        <w:rPr>
          <w:rFonts w:ascii="Helvetica" w:hAnsi="Helvetica" w:eastAsia="Helvetica" w:cs="Helvetica"/>
        </w:rPr>
        <w:t>Consider livelihoods and industrial knowledge, affordability, displacement, inclusive access and the distribution of costs. Use the Centre for the Just City’s distributive, procedural and recognitional lenses to ask who benefits, who participates and whose needs and knowledge count. [S7–S8] Translate at least three commitments into a drawing or operating arrangement.</w:t>
      </w:r>
    </w:p>
    <w:p w14:paraId="2B94E6D5" w14:textId="77777777" w:rsidR="00124937" w:rsidRPr="00725553" w:rsidRDefault="00000000">
      <w:pPr>
        <w:rPr>
          <w:rFonts w:ascii="Helvetica" w:hAnsi="Helvetica" w:eastAsia="Helvetica" w:cs="Helvetica"/>
        </w:rPr>
      </w:pPr>
      <w:r w:rsidRPr="00725553">
        <w:rPr>
          <w:rFonts w:ascii="Helvetica" w:hAnsi="Helvetica" w:eastAsia="Helvetica" w:cs="Helvetica"/>
        </w:rPr>
        <w:t>Investigate studentification through evidence about housing choice, access and neighbourhood continuity. How can students, families and other residents share urban life? What protects affordable access and recognises different schedules and needs? Treat students as participants rather than the problem to be removed.</w:t>
      </w:r>
    </w:p>
    <w:p w14:paraId="0A684523"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Community and ecological resilience</w:t>
      </w:r>
    </w:p>
    <w:p w14:paraId="5D30F554" w14:textId="77777777" w:rsidR="00124937" w:rsidRPr="00725553" w:rsidRDefault="00000000">
      <w:pPr>
        <w:rPr>
          <w:rFonts w:ascii="Helvetica" w:hAnsi="Helvetica" w:eastAsia="Helvetica" w:cs="Helvetica"/>
        </w:rPr>
      </w:pPr>
      <w:r w:rsidRPr="00725553">
        <w:rPr>
          <w:rFonts w:ascii="Helvetica" w:hAnsi="Helvetica" w:eastAsia="Helvetica" w:cs="Helvetica"/>
        </w:rPr>
        <w:t>Identify the activities and relationships that support everyday wellbeing and the capacity to prepare for, withstand, recover from and adapt to disruption. Include non-human life, ecological connections and the labour and resources needed for care. Test whether a proposed benefit transfers harm to another group or place.</w:t>
      </w:r>
    </w:p>
    <w:p w14:paraId="3A407866"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Define your architectural programme</w:t>
      </w:r>
    </w:p>
    <w:p w14:paraId="5657B593" w14:textId="77777777" w:rsidR="00124937" w:rsidRPr="00725553" w:rsidRDefault="00000000">
      <w:pPr>
        <w:rPr>
          <w:rFonts w:ascii="Helvetica" w:hAnsi="Helvetica" w:eastAsia="Helvetica" w:cs="Helvetica"/>
        </w:rPr>
      </w:pPr>
      <w:r w:rsidRPr="00725553">
        <w:rPr>
          <w:rFonts w:ascii="Helvetica" w:hAnsi="Helvetica" w:eastAsia="Helvetica" w:cs="Helvetica"/>
        </w:rPr>
        <w:t>Propose a primary use and complementary activities supported by evidence of need and building suitability. Making and repair, learning, shared work, food-related activity or community facilities are possible directions. These are options, not established demands. Housing needs its own evidence and suitability tests.</w:t>
      </w:r>
    </w:p>
    <w:p w14:paraId="7DDD9E0B" w14:textId="77777777" w:rsidR="00124937" w:rsidRPr="00725553" w:rsidRDefault="00000000">
      <w:pPr>
        <w:rPr>
          <w:rFonts w:ascii="Helvetica" w:hAnsi="Helvetica" w:eastAsia="Helvetica" w:cs="Helvetica"/>
        </w:rPr>
      </w:pPr>
      <w:r w:rsidRPr="00725553">
        <w:rPr>
          <w:rFonts w:ascii="Helvetica" w:hAnsi="Helvetica" w:eastAsia="Helvetica" w:cs="Helvetica"/>
        </w:rPr>
        <w:t>Schedule users, activities, indicative capacities, net room areas, circulation, services and external spaces. Reconcile the total with the existing or explicitly assumed floor area. Distinguish public, shared, controlled and service areas and explain daily, after-hours and seasonal operation.</w:t>
      </w:r>
    </w:p>
    <w:p w14:paraId="3A04FD70"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Questions to test in reviews</w:t>
      </w:r>
    </w:p>
    <w:p w14:paraId="6C7B8BAD" w14:textId="77777777" w:rsidR="00124937" w:rsidRPr="00725553" w:rsidRDefault="00000000">
      <w:pPr>
        <w:pStyle w:val="ListBullet"/>
        <w:rPr>
          <w:rFonts w:ascii="Helvetica" w:hAnsi="Helvetica" w:eastAsia="Helvetica" w:cs="Helvetica"/>
        </w:rPr>
      </w:pPr>
      <w:r w:rsidRPr="00725553">
        <w:rPr>
          <w:rFonts w:ascii="Helvetica" w:hAnsi="Helvetica" w:eastAsia="Helvetica" w:cs="Helvetica"/>
        </w:rPr>
        <w:t>Which existing resources become more useful through your intervention, and for whom?</w:t>
      </w:r>
    </w:p>
    <w:p w14:paraId="5AAA4B74" w14:textId="77777777" w:rsidR="00124937" w:rsidRPr="00725553" w:rsidRDefault="00000000">
      <w:pPr>
        <w:pStyle w:val="ListBullet"/>
        <w:rPr>
          <w:rFonts w:ascii="Helvetica" w:hAnsi="Helvetica" w:eastAsia="Helvetica" w:cs="Helvetica"/>
        </w:rPr>
      </w:pPr>
      <w:r w:rsidRPr="00725553">
        <w:rPr>
          <w:rFonts w:ascii="Helvetica" w:hAnsi="Helvetica" w:eastAsia="Helvetica" w:cs="Helvetica"/>
        </w:rPr>
        <w:t>What connects the everyday experience inside the building to the neighbourhood and city?</w:t>
      </w:r>
    </w:p>
    <w:p w14:paraId="521D98A7" w14:textId="77777777" w:rsidR="00124937" w:rsidRPr="00725553" w:rsidRDefault="00000000">
      <w:pPr>
        <w:pStyle w:val="ListBullet"/>
        <w:rPr>
          <w:rFonts w:ascii="Helvetica" w:hAnsi="Helvetica" w:eastAsia="Helvetica" w:cs="Helvetica"/>
        </w:rPr>
      </w:pPr>
      <w:r w:rsidRPr="00725553">
        <w:rPr>
          <w:rFonts w:ascii="Helvetica" w:hAnsi="Helvetica" w:eastAsia="Helvetica" w:cs="Helvetica"/>
        </w:rPr>
        <w:t>Which assumptions about need, tenure, maintenance or climate most affect the viability of the design?</w:t>
      </w:r>
    </w:p>
    <w:p w14:paraId="54760DA4"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4FF637A6"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Minimum architectural resolution</w:t>
      </w:r>
    </w:p>
    <w:p w14:paraId="33C1CACD" w14:textId="77777777" w:rsidR="00124937" w:rsidRPr="00725553" w:rsidRDefault="00000000">
      <w:pPr>
        <w:rPr>
          <w:rFonts w:ascii="Helvetica" w:hAnsi="Helvetica" w:eastAsia="Helvetica" w:cs="Helvetica"/>
        </w:rPr>
      </w:pPr>
      <w:r w:rsidRPr="00725553">
        <w:rPr>
          <w:rFonts w:ascii="Helvetica" w:hAnsi="Helvetica" w:eastAsia="Helvetica" w:cs="Helvetica"/>
        </w:rPr>
        <w:t>Each group submits M1–M6 as one coordinated design. Every student must explain this standard and demonstrate the personal architectural contribution defined on the group-work page. The required developed scale is 1:50. Select an area large enough to test inhabitation, an accessible route or threshold, and the relationship between retained and new fabric. A decorative fragment or an isolated enlarged drawing does not demonstrate this standard.</w:t>
      </w:r>
    </w:p>
    <w:tbl>
      <w:tblPr>
        <w:tblW w:w="0" w:type="auto"/>
        <w:jc w:val="center"/>
        <w:tblLayout w:type="fixed"/>
        <w:tblLook w:val="04A0" w:firstRow="1" w:lastRow="0" w:firstColumn="1" w:lastColumn="0" w:noHBand="0" w:noVBand="1"/>
      </w:tblPr>
      <w:tblGrid>
        <w:gridCol w:w="737"/>
        <w:gridCol w:w="8901"/>
      </w:tblGrid>
      <w:tr w:rsidR="00124937" w:rsidRPr="00725553" w14:paraId="712037EB" w14:textId="77777777">
        <w:trPr>
          <w:cantSplit/>
          <w:tblHeader/>
          <w:jc w:val="center"/>
        </w:trPr>
        <w:tc>
          <w:tcPr>
            <w:tcW w:w="737"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2C8DD8BD"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18"/>
              </w:rPr>
              <w:t>Code</w:t>
            </w:r>
          </w:p>
        </w:tc>
        <w:tc>
          <w:tcPr>
            <w:tcW w:w="8901"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58C0A253"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Required evidence</w:t>
            </w:r>
          </w:p>
        </w:tc>
      </w:tr>
      <w:tr w:rsidR="00124937" w:rsidRPr="00725553" w14:paraId="2791B593" w14:textId="77777777">
        <w:trPr>
          <w:cantSplit/>
          <w:jc w:val="center"/>
        </w:trPr>
        <w:tc>
          <w:tcPr>
            <w:tcW w:w="73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C0E368B"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M1</w:t>
            </w:r>
          </w:p>
        </w:tc>
        <w:tc>
          <w:tcPr>
            <w:tcW w:w="8901"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84F5C3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Whole-building coordination. Context plan about 1:2,000; site plan about 1:500; every relevant floor plan, at least two significant sections and affected elevations about 1:200. Show use, circulation, levels and the retained, removed and new fabric.</w:t>
            </w:r>
          </w:p>
        </w:tc>
      </w:tr>
      <w:tr w:rsidR="00124937" w:rsidRPr="00725553" w14:paraId="5706E556" w14:textId="77777777">
        <w:trPr>
          <w:cantSplit/>
          <w:jc w:val="center"/>
        </w:trPr>
        <w:tc>
          <w:tcPr>
            <w:tcW w:w="73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1BEF8B17"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M2</w:t>
            </w:r>
          </w:p>
        </w:tc>
        <w:tc>
          <w:tcPr>
            <w:tcW w:w="8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FB7BE2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A meaningful area of development. Select one significant group study area with occupied space, an accessible route or threshold, and a relationship between retained and new work. Locate it on the overall drawings; agree its extent and each member’s architectural responsibility by 22 January.</w:t>
            </w:r>
          </w:p>
        </w:tc>
      </w:tr>
      <w:tr w:rsidR="00124937" w:rsidRPr="00725553" w14:paraId="560FEE50" w14:textId="77777777">
        <w:trPr>
          <w:cantSplit/>
          <w:jc w:val="center"/>
        </w:trPr>
        <w:tc>
          <w:tcPr>
            <w:tcW w:w="73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E990828"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M3</w:t>
            </w:r>
          </w:p>
        </w:tc>
        <w:tc>
          <w:tcPr>
            <w:tcW w:w="8901"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FDAC04C"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The coordinated 1:50 drawing set. Provide one dimensioned plan, two sections in different directions, and one relevant external or internal elevation of the same area. Use matching references, levels and geometry; show adjoining spaces where they affect the proposal.</w:t>
            </w:r>
          </w:p>
        </w:tc>
      </w:tr>
      <w:tr w:rsidR="00124937" w:rsidRPr="00725553" w14:paraId="3210BDE3" w14:textId="77777777">
        <w:trPr>
          <w:cantSplit/>
          <w:jc w:val="center"/>
        </w:trPr>
        <w:tc>
          <w:tcPr>
            <w:tcW w:w="73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C365093"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M4</w:t>
            </w:r>
          </w:p>
        </w:tc>
        <w:tc>
          <w:tcPr>
            <w:tcW w:w="8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ABDE542"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Inhabitation and inclusive access. Show furniture or equipment, intended activities and indicative capacity. Dimension key spaces, openings and circulation; explain level changes, accessible movement and the relationship to the overall escape strategy.</w:t>
            </w:r>
          </w:p>
        </w:tc>
      </w:tr>
      <w:tr w:rsidR="00124937" w:rsidRPr="00725553" w14:paraId="43AF9947" w14:textId="77777777">
        <w:trPr>
          <w:cantSplit/>
          <w:jc w:val="center"/>
        </w:trPr>
        <w:tc>
          <w:tcPr>
            <w:tcW w:w="73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7518E0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M5</w:t>
            </w:r>
          </w:p>
        </w:tc>
        <w:tc>
          <w:tcPr>
            <w:tcW w:w="8901"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1EC3415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Fabric and construction logic. Distinguish existing, removed and new work. Indicate structural supports, spans and load paths; represent plausible wall, floor and roof build-ups and materials. Annotate the principles of connection, weathering, drainage and maintenance at 1:50.</w:t>
            </w:r>
          </w:p>
        </w:tc>
      </w:tr>
      <w:tr w:rsidR="00124937" w:rsidRPr="00725553" w14:paraId="7C2B05CB" w14:textId="77777777">
        <w:trPr>
          <w:cantSplit/>
          <w:jc w:val="center"/>
        </w:trPr>
        <w:tc>
          <w:tcPr>
            <w:tcW w:w="73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298025F"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M6</w:t>
            </w:r>
          </w:p>
        </w:tc>
        <w:tc>
          <w:tcPr>
            <w:tcW w:w="8901"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C9FDE9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Environmental performance. Use the same area to explain daylight, ventilation, shading or thermal enclosure and one relevant climate response. Show how services can be accommodated and record limitations requiring specialist investigation.</w:t>
            </w:r>
          </w:p>
        </w:tc>
      </w:tr>
    </w:tbl>
    <w:p w14:paraId="198A2CC4" w14:textId="77777777" w:rsidR="00124937" w:rsidRPr="00725553" w:rsidRDefault="00124937">
      <w:pPr>
        <w:spacing w:after="40" w:line="240" w:lineRule="auto"/>
        <w:rPr>
          <w:rFonts w:ascii="Helvetica" w:hAnsi="Helvetica" w:eastAsia="Helvetica" w:cs="Helvetica"/>
        </w:rPr>
      </w:pPr>
    </w:p>
    <w:p w14:paraId="64E423F5"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What resolution means</w:t>
      </w:r>
    </w:p>
    <w:p w14:paraId="1F445628" w14:textId="77777777" w:rsidR="00124937" w:rsidRPr="00725553" w:rsidRDefault="00000000">
      <w:pPr>
        <w:rPr>
          <w:rFonts w:ascii="Helvetica" w:hAnsi="Helvetica" w:eastAsia="Helvetica" w:cs="Helvetica"/>
        </w:rPr>
      </w:pPr>
      <w:r w:rsidRPr="00725553">
        <w:rPr>
          <w:rFonts w:ascii="Helvetica" w:hAnsi="Helvetica" w:eastAsia="Helvetica" w:cs="Helvetica"/>
        </w:rPr>
        <w:t>A reviewer should be able to understand how the selected area is occupied, entered, supported, enclosed and environmentally moderated, and how it connects to the overall scheme. Plans, sections and elevation must tell the same spatial story. Use dimensions, levels, material keys and concise annotations to explain decisions.</w:t>
      </w:r>
    </w:p>
    <w:p w14:paraId="1BAA0271" w14:textId="77777777" w:rsidR="00124937" w:rsidRPr="00725553" w:rsidRDefault="00000000">
      <w:pPr>
        <w:rPr>
          <w:rFonts w:ascii="Helvetica" w:hAnsi="Helvetica" w:eastAsia="Helvetica" w:cs="Helvetica"/>
        </w:rPr>
      </w:pPr>
      <w:r w:rsidRPr="00725553">
        <w:rPr>
          <w:rFonts w:ascii="Helvetica" w:hAnsi="Helvetica" w:eastAsia="Helvetica" w:cs="Helvetica"/>
        </w:rPr>
        <w:t>Construction logic is assessed at 1:50. Indicate plausible assembly and connection principles at that scale; fabrication-level connection details are not required. Identify matters needing engineering, fire or other specialist input rather than presenting assumptions as verified compliance.</w:t>
      </w:r>
    </w:p>
    <w:p w14:paraId="642C6E95"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How the minimum is assessed</w:t>
      </w:r>
    </w:p>
    <w:p w14:paraId="179B398D" w14:textId="77777777" w:rsidR="00124937" w:rsidRPr="00725553" w:rsidRDefault="00000000">
      <w:pPr>
        <w:rPr>
          <w:rFonts w:ascii="Helvetica" w:hAnsi="Helvetica" w:eastAsia="Helvetica" w:cs="Helvetica"/>
        </w:rPr>
      </w:pPr>
      <w:r w:rsidRPr="00725553">
        <w:rPr>
          <w:rFonts w:ascii="Helvetica" w:hAnsi="Helvetica" w:eastAsia="Helvetica" w:cs="Helvetica"/>
        </w:rPr>
        <w:t>M1–M6 define required evidence and the satisfactory standard for C1. A complete set still needs coherent design judgement to reach that standard. Record missing or contradictory evidence under the relevant criterion; this pack adds no automatic overall fail rule or grade cap. Apply any separately approved institutional hurdle only if communicated before assessment.</w:t>
      </w:r>
    </w:p>
    <w:p w14:paraId="38FB8D85"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2571031B"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Climate tests and final submission</w:t>
      </w:r>
    </w:p>
    <w:tbl>
      <w:tblPr>
        <w:tblW w:w="0" w:type="auto"/>
        <w:jc w:val="center"/>
        <w:tblLayout w:type="fixed"/>
        <w:tblLook w:val="04A0" w:firstRow="1" w:lastRow="0" w:firstColumn="1" w:lastColumn="0" w:noHBand="0" w:noVBand="1"/>
      </w:tblPr>
      <w:tblGrid>
        <w:gridCol w:w="2268"/>
        <w:gridCol w:w="7370"/>
      </w:tblGrid>
      <w:tr w:rsidR="00124937" w:rsidRPr="00725553" w14:paraId="0401A6BB" w14:textId="77777777">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7B90E9D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Required test</w:t>
            </w:r>
          </w:p>
        </w:tc>
        <w:tc>
          <w:tcPr>
            <w:tcW w:w="7370"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0167BE71"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Evidence to submit</w:t>
            </w:r>
          </w:p>
        </w:tc>
      </w:tr>
      <w:tr w:rsidR="00124937" w:rsidRPr="00725553" w14:paraId="23B5B58F"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E6617D2"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Site and future conditions</w:t>
            </w:r>
          </w:p>
        </w:tc>
        <w:tc>
          <w:tcPr>
            <w:tcW w:w="737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DACA7F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Screen rainfall and flooding, overheating, water availability, wind and infrastructure disruption. Include coastal or groundwater effects only where evidence supports relevance. Use a current baseline and at least two justified future conditions or scenarios, with dates, units and uncertainty.</w:t>
            </w:r>
          </w:p>
        </w:tc>
      </w:tr>
      <w:tr w:rsidR="00124937" w:rsidRPr="00725553" w14:paraId="3C3274F7"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D02F33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Two architectural tests</w:t>
            </w:r>
          </w:p>
        </w:tc>
        <w:tc>
          <w:tcPr>
            <w:tcW w:w="737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539244D"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Draw two relevant tests showing exposure, affected users or ecology, response and residual risk. Link at least one to the 1:50 study. Explain what the test changed in the design.</w:t>
            </w:r>
          </w:p>
        </w:tc>
      </w:tr>
      <w:tr w:rsidR="00124937" w:rsidRPr="00725553" w14:paraId="73E02B08"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6BDFD2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Materials and energy</w:t>
            </w:r>
          </w:p>
        </w:tc>
        <w:tc>
          <w:tcPr>
            <w:tcW w:w="737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1A57757"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Compare retention with a defined replacement alternative for a selected element or system. State quantities, data sources and calculation boundary. Distinguish carbon reduction from adaptation; explain passive comfort and operational assumptions.</w:t>
            </w:r>
          </w:p>
        </w:tc>
      </w:tr>
      <w:tr w:rsidR="00124937" w:rsidRPr="00725553" w14:paraId="39AACFBA"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9DFB76E"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Adaptation over time</w:t>
            </w:r>
          </w:p>
        </w:tc>
        <w:tc>
          <w:tcPr>
            <w:tcW w:w="737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168CFBF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Show immediate works, a 2050 proposition, maintenance responsibilities and a trigger for further change. Consider programme change and recovery after disruption.</w:t>
            </w:r>
          </w:p>
        </w:tc>
      </w:tr>
    </w:tbl>
    <w:p w14:paraId="68EFF7B9" w14:textId="77777777" w:rsidR="00124937" w:rsidRPr="00725553" w:rsidRDefault="00124937">
      <w:pPr>
        <w:spacing w:after="40" w:line="240" w:lineRule="auto"/>
        <w:rPr>
          <w:rFonts w:ascii="Helvetica" w:hAnsi="Helvetica" w:eastAsia="Helvetica" w:cs="Helvetica"/>
        </w:rPr>
      </w:pPr>
    </w:p>
    <w:p w14:paraId="58FF5649"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One shared group portfolio</w:t>
      </w:r>
    </w:p>
    <w:p w14:paraId="569E25CE" w14:textId="77777777" w:rsidR="00124937" w:rsidRPr="00725553" w:rsidRDefault="00000000">
      <w:pPr>
        <w:rPr>
          <w:rFonts w:ascii="Helvetica" w:hAnsi="Helvetica" w:eastAsia="Helvetica" w:cs="Helvetica"/>
        </w:rPr>
      </w:pPr>
      <w:r w:rsidRPr="00725553">
        <w:rPr>
          <w:rFonts w:ascii="Helvetica" w:hAnsi="Helvetica" w:eastAsia="Helvetica" w:cs="Helvetica"/>
        </w:rPr>
        <w:t>Submit one 20–28-page A3 landscape PDF per group, using the editable 22-page template as a starting structure. Include the group agreement, contribution record and named drawing responsibilities. Include the brief and area schedule, site evidence, two analysed precedents including one from Aotearoa, at least three different design options, coordinated whole-building drawings, the M1–M6 study, climate tests, commoning and justice evidence, two spatial views, model views and phasing.</w:t>
      </w:r>
    </w:p>
    <w:p w14:paraId="0C1D3046" w14:textId="77777777" w:rsidR="00124937" w:rsidRPr="00725553" w:rsidRDefault="00000000">
      <w:pPr>
        <w:rPr>
          <w:rFonts w:ascii="Helvetica" w:hAnsi="Helvetica" w:eastAsia="Helvetica" w:cs="Helvetica"/>
        </w:rPr>
      </w:pPr>
      <w:r w:rsidRPr="00725553">
        <w:rPr>
          <w:rFonts w:ascii="Helvetica" w:hAnsi="Helvetica" w:eastAsia="Helvetica" w:cs="Helvetica"/>
        </w:rPr>
        <w:t>Use about 1:2,000 for context, 1:500 for the site and 1:200 for whole-building drawings. Agree alternatives where building size requires them. The developed study remains at 1:50; use additional sheets where needed. Include drawing titles, scales, scale bars, north points where relevant, dimensions, levels, keys and evidence references.</w:t>
      </w:r>
    </w:p>
    <w:p w14:paraId="56D19823"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Individual reflection</w:t>
      </w:r>
    </w:p>
    <w:p w14:paraId="41C66516" w14:textId="77777777" w:rsidR="00124937" w:rsidRPr="00725553" w:rsidRDefault="00000000">
      <w:pPr>
        <w:rPr>
          <w:rFonts w:ascii="Helvetica" w:hAnsi="Helvetica" w:eastAsia="Helvetica" w:cs="Helvetica"/>
        </w:rPr>
      </w:pPr>
      <w:r w:rsidRPr="00725553">
        <w:rPr>
          <w:rFonts w:ascii="Helvetica" w:hAnsi="Helvetica" w:eastAsia="Helvetica" w:cs="Helvetica"/>
        </w:rPr>
        <w:t>Every student submits 800–1,000 words plus references and a concise individual contribution record. This is submitted separately from the shared portfolio and assessed within the individual 30%. Critically evaluate two design decisions and one unresolved tension in relation to commoning, spatial justice and resilience. Cite specific drawings, feedback and revisions and distinguish your work from shared material.</w:t>
      </w:r>
    </w:p>
    <w:p w14:paraId="7320C5D2"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Presentation and submission times</w:t>
      </w:r>
    </w:p>
    <w:p w14:paraId="4B51F868" w14:textId="77777777" w:rsidR="00124937" w:rsidRPr="00725553" w:rsidRDefault="00000000">
      <w:pPr>
        <w:rPr>
          <w:rFonts w:ascii="Helvetica" w:hAnsi="Helvetica" w:eastAsia="Helvetica" w:cs="Helvetica"/>
        </w:rPr>
      </w:pPr>
      <w:r w:rsidRPr="00725553">
        <w:rPr>
          <w:rFonts w:ascii="Helvetica" w:hAnsi="Helvetica" w:eastAsia="Helvetica" w:cs="Helvetica"/>
        </w:rPr>
        <w:t>The final online presentation is Friday 5 February 2027. Allow 15 minutes per group to present and 15 minutes for questions. Every member must speak and answer individual questions about their contribution and the integrated design. Proposed deadlines are 17:00 Thursday 4 February for the portfolio and 17:00 Friday 5 February for the reflection, in NZDT (UTC+13). The convenor will confirm these times and the upload platform before teaching begins.</w:t>
      </w:r>
    </w:p>
    <w:p w14:paraId="5E8E979A" w14:textId="5361D8B9" w:rsidR="00124937" w:rsidRPr="00725553" w:rsidRDefault="00000000">
      <w:pPr>
        <w:rPr>
          <w:rFonts w:ascii="Helvetica" w:hAnsi="Helvetica" w:eastAsia="Helvetica" w:cs="Helvetica"/>
        </w:rPr>
      </w:pPr>
      <w:r w:rsidRPr="00725553">
        <w:rPr>
          <w:rFonts w:ascii="Helvetica" w:hAnsi="Helvetica" w:eastAsia="Helvetica" w:cs="Helvetica"/>
        </w:rPr>
        <w:t>Name the shared file GroupID_AtelierSouth2027_Portfolio.pdf. Each student submits GroupID_FamilyName_GivenName_Reflection.pdf, including their contribution record. Retain editable drawing and model files. Attribute external images, data, tools and AI assistance in line with institutional policy.</w:t>
      </w:r>
      <w:r w:rsidRPr="00725553">
        <w:rPr>
          <w:rFonts w:ascii="Helvetica" w:hAnsi="Helvetica" w:eastAsia="Helvetica" w:cs="Helvetica"/>
        </w:rPr>
        <w:br w:type="page"/>
      </w:r>
    </w:p>
    <w:p w14:paraId="1F5AD6B9" w14:textId="2D3B34B5" w:rsidR="00124937" w:rsidRPr="00725553" w:rsidRDefault="00725553">
      <w:pPr>
        <w:pStyle w:val="Heading1"/>
        <w:rPr>
          <w:rFonts w:ascii="Helvetica" w:hAnsi="Helvetica" w:eastAsia="Helvetica" w:cs="Helvetica"/>
        </w:rPr>
      </w:pPr>
      <w:r>
        <w:rPr>
          <w:rFonts w:ascii="Helvetica" w:hAnsi="Helvetica" w:eastAsia="Helvetica" w:cs="Helvetica"/>
        </w:rPr>
        <w:lastRenderedPageBreak/>
        <w:t>A</w:t>
      </w:r>
      <w:r w:rsidR="00000000" w:rsidRPr="00725553">
        <w:rPr>
          <w:rFonts w:ascii="Helvetica" w:hAnsi="Helvetica" w:eastAsia="Helvetica" w:cs="Helvetica"/>
        </w:rPr>
        <w:t>ssessment rubric</w:t>
      </w:r>
    </w:p>
    <w:p w14:paraId="7AEC40A2" w14:textId="77777777" w:rsidR="00124937" w:rsidRPr="00725553" w:rsidRDefault="00000000">
      <w:pPr>
        <w:rPr>
          <w:rFonts w:ascii="Helvetica" w:hAnsi="Helvetica" w:eastAsia="Helvetica" w:cs="Helvetica"/>
        </w:rPr>
      </w:pPr>
      <w:r w:rsidRPr="00725553">
        <w:rPr>
          <w:rFonts w:ascii="Helvetica" w:hAnsi="Helvetica" w:eastAsia="Helvetica" w:cs="Helvetica"/>
        </w:rPr>
        <w:t>Assessment comprises 70% shared group work and 30% individual contribution. The six criterion totals remain 40%, 20%, 15%, 10%, 10% and 5%. The presentation provides evidence for these criteria and has no additional weight. Assess distinct qualities rather than counting the same achievement twice.</w:t>
      </w:r>
    </w:p>
    <w:tbl>
      <w:tblPr>
        <w:tblW w:w="0" w:type="auto"/>
        <w:jc w:val="center"/>
        <w:tblLayout w:type="fixed"/>
        <w:tblLook w:val="04A0" w:firstRow="1" w:lastRow="0" w:firstColumn="1" w:lastColumn="0" w:noHBand="0" w:noVBand="1"/>
      </w:tblPr>
      <w:tblGrid>
        <w:gridCol w:w="5726"/>
        <w:gridCol w:w="1304"/>
        <w:gridCol w:w="1304"/>
        <w:gridCol w:w="1304"/>
      </w:tblGrid>
      <w:tr w:rsidR="00124937" w:rsidRPr="00725553" w14:paraId="6BA0E0CE" w14:textId="77777777">
        <w:trPr>
          <w:cantSplit/>
          <w:tblHeader/>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5478875A"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Criterion</w:t>
            </w:r>
          </w:p>
        </w:tc>
        <w:tc>
          <w:tcPr>
            <w:tcW w:w="1304"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2EED7551"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20"/>
              </w:rPr>
              <w:t>Group</w:t>
            </w:r>
          </w:p>
        </w:tc>
        <w:tc>
          <w:tcPr>
            <w:tcW w:w="1304"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66BA744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20"/>
              </w:rPr>
              <w:t>Individual</w:t>
            </w:r>
          </w:p>
        </w:tc>
        <w:tc>
          <w:tcPr>
            <w:tcW w:w="1304"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1A0C7994"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20"/>
              </w:rPr>
              <w:t>Total</w:t>
            </w:r>
          </w:p>
        </w:tc>
      </w:tr>
      <w:tr w:rsidR="00124937" w:rsidRPr="00725553" w14:paraId="5E5AFE6A"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15DD27F7"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C1  Developed architectural design</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6052DC36"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30%</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65D6E745"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10%</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073323D"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40%</w:t>
            </w:r>
          </w:p>
        </w:tc>
      </w:tr>
      <w:tr w:rsidR="00124937" w:rsidRPr="00725553" w14:paraId="5C08DEF4"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3DF0172"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C2  Climate adaptation and resilience</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D476F04"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15%</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87AEF47"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F3A562D"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20%</w:t>
            </w:r>
          </w:p>
        </w:tc>
      </w:tr>
      <w:tr w:rsidR="00124937" w:rsidRPr="00725553" w14:paraId="6A32137E"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5B5E11FA"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C3  Just transitions</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2E48DC5"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10%</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551F9243"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73AEA0F"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15%</w:t>
            </w:r>
          </w:p>
        </w:tc>
      </w:tr>
      <w:tr w:rsidR="00124937" w:rsidRPr="00725553" w14:paraId="668A623E"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1E22C502"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C4  Urban commoning across scales</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6EC9759"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10%</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D76FEF6"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0%</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91FDDB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10%</w:t>
            </w:r>
          </w:p>
        </w:tc>
      </w:tr>
      <w:tr w:rsidR="00124937" w:rsidRPr="00725553" w14:paraId="282B918D"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65E7C26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C5  Research and contextual judgement</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71A007A"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B9102FE"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552C865D"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10%</w:t>
            </w:r>
          </w:p>
        </w:tc>
      </w:tr>
      <w:tr w:rsidR="00124937" w:rsidRPr="00725553" w14:paraId="4269A1C2"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A7B9A0D"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C6  Critical reflection and communication</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62D1B7AB"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0%</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27FF7E2"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2556DFF"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w:t>
            </w:r>
          </w:p>
        </w:tc>
      </w:tr>
      <w:tr w:rsidR="00124937" w:rsidRPr="00725553" w14:paraId="7B6D6774" w14:textId="77777777">
        <w:trPr>
          <w:cantSplit/>
          <w:jc w:val="center"/>
        </w:trPr>
        <w:tc>
          <w:tcPr>
            <w:tcW w:w="5726"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696F6C4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Total</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29B14E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70%</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27E9619"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30%</w:t>
            </w:r>
          </w:p>
        </w:tc>
        <w:tc>
          <w:tcPr>
            <w:tcW w:w="130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D511A5F"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100%</w:t>
            </w:r>
          </w:p>
        </w:tc>
      </w:tr>
    </w:tbl>
    <w:p w14:paraId="2F26CF24" w14:textId="77777777" w:rsidR="00124937" w:rsidRPr="00725553" w:rsidRDefault="00124937">
      <w:pPr>
        <w:spacing w:after="40" w:line="240" w:lineRule="auto"/>
        <w:rPr>
          <w:rFonts w:ascii="Helvetica" w:hAnsi="Helvetica" w:eastAsia="Helvetica" w:cs="Helvetica"/>
        </w:rPr>
      </w:pPr>
    </w:p>
    <w:p w14:paraId="7EE5779C"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Assessment method</w:t>
      </w:r>
    </w:p>
    <w:p w14:paraId="442A8C37" w14:textId="77777777" w:rsidR="00124937" w:rsidRPr="00725553" w:rsidRDefault="00000000">
      <w:pPr>
        <w:rPr>
          <w:rFonts w:ascii="Helvetica" w:hAnsi="Helvetica" w:eastAsia="Helvetica" w:cs="Helvetica"/>
        </w:rPr>
      </w:pPr>
      <w:r w:rsidRPr="00725553">
        <w:rPr>
          <w:rFonts w:ascii="Helvetica" w:hAnsi="Helvetica" w:eastAsia="Helvetica" w:cs="Helvetica"/>
        </w:rPr>
        <w:t>Score each non-zero group and individual component out of 100, using the rubric and performance bands. Multiply each score by its component weight and divide by 100. Add group contributions to a subtotal out of 70 and individual contributions to a subtotal out of 30. Their sum is the student’s mark out of 100; retain it before institutional rounding.</w:t>
      </w:r>
    </w:p>
    <w:p w14:paraId="2F51ED14" w14:textId="77777777" w:rsidR="00124937" w:rsidRPr="00725553" w:rsidRDefault="00000000">
      <w:pPr>
        <w:rPr>
          <w:rFonts w:ascii="Helvetica" w:hAnsi="Helvetica" w:eastAsia="Helvetica" w:cs="Helvetica"/>
        </w:rPr>
      </w:pPr>
      <w:r w:rsidRPr="00725553">
        <w:rPr>
          <w:rFonts w:ascii="Helvetica" w:hAnsi="Helvetica" w:eastAsia="Helvetica" w:cs="Helvetica"/>
        </w:rPr>
        <w:t>The architectural standard on the preceding pages is recorded through M1–M6. The marking sheet provides fields for evidence references, criterion scores, feedback and moderation. Assessment concerns demonstrated quality, not the volume of drawings or the amount of time spent.</w:t>
      </w:r>
    </w:p>
    <w:p w14:paraId="7500DC99"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Group and individual evidence</w:t>
      </w:r>
    </w:p>
    <w:p w14:paraId="3D1BCC99" w14:textId="77777777" w:rsidR="00124937" w:rsidRPr="00725553" w:rsidRDefault="00000000">
      <w:pPr>
        <w:rPr>
          <w:rFonts w:ascii="Helvetica" w:hAnsi="Helvetica" w:eastAsia="Helvetica" w:cs="Helvetica"/>
        </w:rPr>
      </w:pPr>
      <w:r w:rsidRPr="00725553">
        <w:rPr>
          <w:rFonts w:ascii="Helvetica" w:hAnsi="Helvetica" w:eastAsia="Helvetica" w:cs="Helvetica"/>
        </w:rPr>
        <w:t>Apply C1–C5 to the shared portfolio and integrated design. The group subtotal is the same for all members. For the individual components, assess the named architectural contribution (C1), personal climate reasoning (C2), a defended justice decision (C3), traceable research judgement (C5), and reflection, coordination and communication (C6). Use the portfolio, contribution record, individual reflection and questions together.</w:t>
      </w:r>
    </w:p>
    <w:p w14:paraId="6E84DC86" w14:textId="77777777" w:rsidR="00124937" w:rsidRPr="00725553" w:rsidRDefault="00000000">
      <w:pPr>
        <w:rPr>
          <w:rFonts w:ascii="Helvetica" w:hAnsi="Helvetica" w:eastAsia="Helvetica" w:cs="Helvetica"/>
        </w:rPr>
      </w:pPr>
      <w:r w:rsidRPr="00725553">
        <w:rPr>
          <w:rFonts w:ascii="Helvetica" w:hAnsi="Helvetica" w:eastAsia="Helvetica" w:cs="Helvetica"/>
        </w:rPr>
        <w:t>For example, a group C1 score of 70 contributes 21/30 to every member. An individual C1 score of 80 adds 8/10 for that student. The two scores assess the collective design and personal achievement respectively. Do not reweight missing evidence or apply a separate peer multiplier.</w:t>
      </w:r>
    </w:p>
    <w:p w14:paraId="7A0D03CD" w14:textId="77777777" w:rsidR="00124937" w:rsidRPr="00725553" w:rsidRDefault="00000000">
      <w:pPr>
        <w:rPr>
          <w:rFonts w:ascii="Helvetica" w:hAnsi="Helvetica" w:eastAsia="Helvetica" w:cs="Helvetica"/>
        </w:rPr>
      </w:pPr>
      <w:r w:rsidRPr="00725553">
        <w:rPr>
          <w:rFonts w:ascii="Helvetica" w:hAnsi="Helvetica" w:eastAsia="Helvetica" w:cs="Helvetica"/>
        </w:rPr>
        <w:t>The portfolio must remain an assessable record. Questions clarify authorship and understanding; they do not replace missing drawings. The marking sheet provides component-specific evidence prompts and records both subtotals.</w:t>
      </w:r>
    </w:p>
    <w:p w14:paraId="6057CABA"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23093A22"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Performance standards and assessment practice</w:t>
      </w:r>
    </w:p>
    <w:tbl>
      <w:tblPr>
        <w:tblW w:w="0" w:type="auto"/>
        <w:jc w:val="center"/>
        <w:tblLayout w:type="fixed"/>
        <w:tblLook w:val="04A0" w:firstRow="1" w:lastRow="0" w:firstColumn="1" w:lastColumn="0" w:noHBand="0" w:noVBand="1"/>
      </w:tblPr>
      <w:tblGrid>
        <w:gridCol w:w="680"/>
        <w:gridCol w:w="1247"/>
        <w:gridCol w:w="7710"/>
      </w:tblGrid>
      <w:tr w:rsidR="00124937" w:rsidRPr="00725553" w14:paraId="7C03DBB5" w14:textId="77777777">
        <w:trPr>
          <w:cantSplit/>
          <w:tblHeader/>
          <w:jc w:val="center"/>
        </w:trPr>
        <w:tc>
          <w:tcPr>
            <w:tcW w:w="680"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3407E7CB"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18"/>
              </w:rPr>
              <w:t>Band</w:t>
            </w:r>
          </w:p>
        </w:tc>
        <w:tc>
          <w:tcPr>
            <w:tcW w:w="1247"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2E542E7D"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b/>
                <w:sz w:val="20"/>
              </w:rPr>
              <w:t>Range</w:t>
            </w:r>
          </w:p>
        </w:tc>
        <w:tc>
          <w:tcPr>
            <w:tcW w:w="7710"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6E883FC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Standard</w:t>
            </w:r>
          </w:p>
        </w:tc>
      </w:tr>
      <w:tr w:rsidR="00124937" w:rsidRPr="00725553" w14:paraId="5AC15CA9" w14:textId="77777777">
        <w:trPr>
          <w:cantSplit/>
          <w:jc w:val="center"/>
        </w:trPr>
        <w:tc>
          <w:tcPr>
            <w:tcW w:w="68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B1098EE"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A</w:t>
            </w:r>
          </w:p>
        </w:tc>
        <w:tc>
          <w:tcPr>
            <w:tcW w:w="124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6C7A4C7"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80–100</w:t>
            </w:r>
          </w:p>
        </w:tc>
        <w:tc>
          <w:tcPr>
            <w:tcW w:w="771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4091041"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Excellent — Integrated, critical and convincing evidence; alternatives and trade-offs are tested and the design is thoroughly resolved.</w:t>
            </w:r>
          </w:p>
        </w:tc>
      </w:tr>
      <w:tr w:rsidR="00124937" w:rsidRPr="00725553" w14:paraId="56E04B44" w14:textId="77777777">
        <w:trPr>
          <w:cantSplit/>
          <w:jc w:val="center"/>
        </w:trPr>
        <w:tc>
          <w:tcPr>
            <w:tcW w:w="68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70CB16F"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B</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CFFDAB2"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65–79</w:t>
            </w:r>
          </w:p>
        </w:tc>
        <w:tc>
          <w:tcPr>
            <w:tcW w:w="771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0E75C3AC"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Good — Coherent, well-supported and substantially resolved work, with some gaps in coordination, evaluation or implementation.</w:t>
            </w:r>
          </w:p>
        </w:tc>
      </w:tr>
      <w:tr w:rsidR="00124937" w:rsidRPr="00725553" w14:paraId="000C515D" w14:textId="77777777">
        <w:trPr>
          <w:cantSplit/>
          <w:jc w:val="center"/>
        </w:trPr>
        <w:tc>
          <w:tcPr>
            <w:tcW w:w="68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5B448DD"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C</w:t>
            </w:r>
          </w:p>
        </w:tc>
        <w:tc>
          <w:tcPr>
            <w:tcW w:w="124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205C4C56"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50–64</w:t>
            </w:r>
          </w:p>
        </w:tc>
        <w:tc>
          <w:tcPr>
            <w:tcW w:w="771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0FE93113"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Satisfactory — The essential response is present and workable, with adequate evidence but limited testing or uneven resolution.</w:t>
            </w:r>
          </w:p>
        </w:tc>
      </w:tr>
      <w:tr w:rsidR="00124937" w:rsidRPr="00725553" w14:paraId="53D071F2" w14:textId="77777777">
        <w:trPr>
          <w:cantSplit/>
          <w:jc w:val="center"/>
        </w:trPr>
        <w:tc>
          <w:tcPr>
            <w:tcW w:w="68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39A1DBF"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D</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A7414BB"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40–49</w:t>
            </w:r>
          </w:p>
        </w:tc>
        <w:tc>
          <w:tcPr>
            <w:tcW w:w="7710"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24C4A6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Insufficient — Important evidence is partial or weak; major contradictions, missing tests or unresolved decisions prevent an adequate response.</w:t>
            </w:r>
          </w:p>
        </w:tc>
      </w:tr>
      <w:tr w:rsidR="00124937" w:rsidRPr="00725553" w14:paraId="03750E47" w14:textId="77777777">
        <w:trPr>
          <w:cantSplit/>
          <w:jc w:val="center"/>
        </w:trPr>
        <w:tc>
          <w:tcPr>
            <w:tcW w:w="68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7EB020C9"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E</w:t>
            </w:r>
          </w:p>
        </w:tc>
        <w:tc>
          <w:tcPr>
            <w:tcW w:w="1247"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5E6B0FC" w14:textId="77777777" w:rsidR="00124937" w:rsidRPr="00725553" w:rsidRDefault="00000000">
            <w:pPr>
              <w:spacing w:after="40" w:line="247" w:lineRule="auto"/>
              <w:jc w:val="center"/>
              <w:rPr>
                <w:rFonts w:ascii="Helvetica" w:hAnsi="Helvetica" w:eastAsia="Helvetica" w:cs="Helvetica"/>
              </w:rPr>
            </w:pPr>
            <w:r w:rsidRPr="00725553">
              <w:rPr>
                <w:rFonts w:ascii="Helvetica" w:hAnsi="Helvetica" w:eastAsia="Helvetica" w:cs="Helvetica"/>
                <w:sz w:val="20"/>
              </w:rPr>
              <w:t>0–39</w:t>
            </w:r>
          </w:p>
        </w:tc>
        <w:tc>
          <w:tcPr>
            <w:tcW w:w="7710"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E209807"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Inadequate — Little relevant evidence or fundamental misunderstanding; the response cannot demonstrate the criterion. Zero denotes no assessable evidence.</w:t>
            </w:r>
          </w:p>
        </w:tc>
      </w:tr>
    </w:tbl>
    <w:p w14:paraId="3CB16314" w14:textId="77777777" w:rsidR="00124937" w:rsidRPr="00725553" w:rsidRDefault="00124937">
      <w:pPr>
        <w:spacing w:after="40" w:line="240" w:lineRule="auto"/>
        <w:rPr>
          <w:rFonts w:ascii="Helvetica" w:hAnsi="Helvetica" w:eastAsia="Helvetica" w:cs="Helvetica"/>
        </w:rPr>
      </w:pPr>
    </w:p>
    <w:p w14:paraId="7C32D353"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Rubric and satisfactory evidence</w:t>
      </w:r>
    </w:p>
    <w:p w14:paraId="44E207EB" w14:textId="77777777" w:rsidR="00124937" w:rsidRPr="00725553" w:rsidRDefault="00000000">
      <w:pPr>
        <w:pStyle w:val="Prompt"/>
        <w:rPr>
          <w:rFonts w:ascii="Helvetica" w:hAnsi="Helvetica" w:eastAsia="Helvetica" w:cs="Helvetica"/>
        </w:rPr>
      </w:pPr>
      <w:r w:rsidRPr="00725553">
        <w:rPr>
          <w:rFonts w:ascii="Helvetica" w:hAnsi="Helvetica" w:eastAsia="Helvetica" w:cs="Helvetica"/>
        </w:rPr>
        <w:t>C1  Developed architectural design. A workable overall scheme and a coordinated 1:50 set demonstrate use, access, fabric, structure and environmental response, without fundamental spatial contradictions.</w:t>
      </w:r>
    </w:p>
    <w:p w14:paraId="2E56AA73" w14:textId="77777777" w:rsidR="00124937" w:rsidRPr="00725553" w:rsidRDefault="00000000">
      <w:pPr>
        <w:pStyle w:val="Prompt"/>
        <w:rPr>
          <w:rFonts w:ascii="Helvetica" w:hAnsi="Helvetica" w:eastAsia="Helvetica" w:cs="Helvetica"/>
        </w:rPr>
      </w:pPr>
      <w:r w:rsidRPr="00725553">
        <w:rPr>
          <w:rFonts w:ascii="Helvetica" w:hAnsi="Helvetica" w:eastAsia="Helvetica" w:cs="Helvetica"/>
        </w:rPr>
        <w:t>C2  Climate adaptation and resilience. Relevant evidence supports two tests and a plausible response; impacts on people and ecology and remaining risks are identified.</w:t>
      </w:r>
    </w:p>
    <w:p w14:paraId="4DD5BCB7" w14:textId="77777777" w:rsidR="00124937" w:rsidRPr="00725553" w:rsidRDefault="00000000">
      <w:pPr>
        <w:pStyle w:val="Prompt"/>
        <w:rPr>
          <w:rFonts w:ascii="Helvetica" w:hAnsi="Helvetica" w:eastAsia="Helvetica" w:cs="Helvetica"/>
        </w:rPr>
      </w:pPr>
      <w:r w:rsidRPr="00725553">
        <w:rPr>
          <w:rFonts w:ascii="Helvetica" w:hAnsi="Helvetica" w:eastAsia="Helvetica" w:cs="Helvetica"/>
        </w:rPr>
        <w:t>C3  Just transitions. At least three justice commitments are linked to drawings or operating arrangements, with affected groups and one trade-off identified.</w:t>
      </w:r>
    </w:p>
    <w:p w14:paraId="1BB5A880" w14:textId="77777777" w:rsidR="00124937" w:rsidRPr="00725553" w:rsidRDefault="00000000">
      <w:pPr>
        <w:pStyle w:val="Prompt"/>
        <w:rPr>
          <w:rFonts w:ascii="Helvetica" w:hAnsi="Helvetica" w:eastAsia="Helvetica" w:cs="Helvetica"/>
        </w:rPr>
      </w:pPr>
      <w:r w:rsidRPr="00725553">
        <w:rPr>
          <w:rFonts w:ascii="Helvetica" w:hAnsi="Helvetica" w:eastAsia="Helvetica" w:cs="Helvetica"/>
        </w:rPr>
        <w:t>C4  Urban commoning across scales. One commoning activity is traced through micro, meso and macro scales, with users, access, care and decision-making explained.</w:t>
      </w:r>
    </w:p>
    <w:p w14:paraId="230DFF2F" w14:textId="77777777" w:rsidR="00124937" w:rsidRPr="00725553" w:rsidRDefault="00000000">
      <w:pPr>
        <w:pStyle w:val="Prompt"/>
        <w:rPr>
          <w:rFonts w:ascii="Helvetica" w:hAnsi="Helvetica" w:eastAsia="Helvetica" w:cs="Helvetica"/>
        </w:rPr>
      </w:pPr>
      <w:r w:rsidRPr="00725553">
        <w:rPr>
          <w:rFonts w:ascii="Helvetica" w:hAnsi="Helvetica" w:eastAsia="Helvetica" w:cs="Helvetica"/>
        </w:rPr>
        <w:t>C5  Research and contextual judgement. A traceable evidence register, two analysed precedents and a reconciled area schedule support the main decisions.</w:t>
      </w:r>
    </w:p>
    <w:p w14:paraId="6B0368E4" w14:textId="77777777" w:rsidR="00124937" w:rsidRPr="00725553" w:rsidRDefault="00000000">
      <w:pPr>
        <w:pStyle w:val="Prompt"/>
        <w:rPr>
          <w:rFonts w:ascii="Helvetica" w:hAnsi="Helvetica" w:eastAsia="Helvetica" w:cs="Helvetica"/>
        </w:rPr>
      </w:pPr>
      <w:r w:rsidRPr="00725553">
        <w:rPr>
          <w:rFonts w:ascii="Helvetica" w:hAnsi="Helvetica" w:eastAsia="Helvetica" w:cs="Helvetica"/>
        </w:rPr>
        <w:t>C6  Critical reflection and communication. Reflection evaluates two decisions and one tension, identifies personal work and sources, and explains how coordination and feedback affected the design.</w:t>
      </w:r>
    </w:p>
    <w:p w14:paraId="7CDBE338"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Satisfactory architectural work</w:t>
      </w:r>
    </w:p>
    <w:p w14:paraId="1AA8C6DE" w14:textId="77777777" w:rsidR="00124937" w:rsidRPr="00725553" w:rsidRDefault="00000000">
      <w:pPr>
        <w:rPr>
          <w:rFonts w:ascii="Helvetica" w:hAnsi="Helvetica" w:eastAsia="Helvetica" w:cs="Helvetica"/>
        </w:rPr>
      </w:pPr>
      <w:r w:rsidRPr="00725553">
        <w:rPr>
          <w:rFonts w:ascii="Helvetica" w:hAnsi="Helvetica" w:eastAsia="Helvetica" w:cs="Helvetica"/>
        </w:rPr>
        <w:t>For C1, satisfactory work means a coherent overall proposal and the coordinated 1:50 evidence specified in M1–M6. It demonstrates a workable relationship between use, access, fabric, structure and environmental performance. Missing a major part of that evidence or leaving fundamental spatial contradictions prevents a satisfactory judgement for C1.</w:t>
      </w:r>
    </w:p>
    <w:p w14:paraId="57E1FF4D" w14:textId="77777777" w:rsidR="00124937" w:rsidRPr="00725553" w:rsidRDefault="00000000">
      <w:pPr>
        <w:rPr>
          <w:rFonts w:ascii="Helvetica" w:hAnsi="Helvetica" w:eastAsia="Helvetica" w:cs="Helvetica"/>
        </w:rPr>
      </w:pPr>
      <w:r w:rsidRPr="00725553">
        <w:rPr>
          <w:rFonts w:ascii="Helvetica" w:hAnsi="Helvetica" w:eastAsia="Helvetica" w:cs="Helvetica"/>
        </w:rPr>
        <w:t>For other criteria, satisfactory work provides the essential evidence in the rubric, supported by site relevance and a reasoned link to design decisions. Stronger work tests alternatives, resolves trade-offs and identifies remaining limits critically. An attractive presentation cannot substitute for resolution or evidence.</w:t>
      </w:r>
    </w:p>
    <w:p w14:paraId="140BFFD9"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2B62D743"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Assessment practice and support</w:t>
      </w:r>
    </w:p>
    <w:p w14:paraId="09E8FE5C"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Grade recording and moderation</w:t>
      </w:r>
    </w:p>
    <w:p w14:paraId="4A72BACE" w14:textId="77777777" w:rsidR="00124937" w:rsidRPr="00725553" w:rsidRDefault="00000000">
      <w:pPr>
        <w:rPr>
          <w:rFonts w:ascii="Helvetica" w:hAnsi="Helvetica" w:eastAsia="Helvetica" w:cs="Helvetica"/>
        </w:rPr>
      </w:pPr>
      <w:r w:rsidRPr="00725553">
        <w:rPr>
          <w:rFonts w:ascii="Helvetica" w:hAnsi="Helvetica" w:eastAsia="Helvetica" w:cs="Helvetica"/>
        </w:rPr>
        <w:t>Proposed subdivisions are A− 80–84, A 85–89, A+ 90–100; B− 65–69, B 70–74, B+ 75–79; C− 50–54, C 55–59, C+ 60–64; D 40–49; E 0–39. Confirm the institutional grading and rounding rules before use. Record the unrounded weighted total and any moderated change with a reason.</w:t>
      </w:r>
    </w:p>
    <w:p w14:paraId="2E755132"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Student support and integrity</w:t>
      </w:r>
    </w:p>
    <w:p w14:paraId="65B8B544" w14:textId="77777777" w:rsidR="00124937" w:rsidRPr="00725553" w:rsidRDefault="00000000">
      <w:pPr>
        <w:rPr>
          <w:rFonts w:ascii="Helvetica" w:hAnsi="Helvetica" w:eastAsia="Helvetica" w:cs="Helvetica"/>
        </w:rPr>
      </w:pPr>
      <w:r w:rsidRPr="00725553">
        <w:rPr>
          <w:rFonts w:ascii="Helvetica" w:hAnsi="Helvetica" w:eastAsia="Helvetica" w:cs="Helvetica"/>
        </w:rPr>
        <w:t>The convenor will publish contact details and the applicable policies for extensions, late submissions, accessibility adjustments, academic integrity and review of assessment. Raise barriers to participation early so that an appropriate way of demonstrating the same learning outcomes can be agreed.</w:t>
      </w:r>
    </w:p>
    <w:p w14:paraId="7A0EE431" w14:textId="77777777" w:rsidR="00124937" w:rsidRPr="00725553" w:rsidRDefault="00000000">
      <w:pPr>
        <w:rPr>
          <w:rFonts w:ascii="Helvetica" w:hAnsi="Helvetica" w:eastAsia="Helvetica" w:cs="Helvetica"/>
        </w:rPr>
      </w:pPr>
      <w:r w:rsidRPr="00725553">
        <w:rPr>
          <w:rFonts w:ascii="Helvetica" w:hAnsi="Helvetica" w:eastAsia="Helvetica" w:cs="Helvetica"/>
        </w:rPr>
        <w:t>Use public evidence responsibly and acknowledge uncertain or missing information. Do not fabricate consultation, quotations, measurements or endorsement. Obtain permission before using others’ work or publishing identifiable participant material. Refer proposed publication permissions to the teaching team.</w:t>
      </w:r>
    </w:p>
    <w:p w14:paraId="28551A9F"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Feedback</w:t>
      </w:r>
    </w:p>
    <w:p w14:paraId="63EB121D" w14:textId="77777777" w:rsidR="00124937" w:rsidRPr="00725553" w:rsidRDefault="00000000">
      <w:pPr>
        <w:rPr>
          <w:rFonts w:ascii="Helvetica" w:hAnsi="Helvetica" w:eastAsia="Helvetica" w:cs="Helvetica"/>
        </w:rPr>
      </w:pPr>
      <w:r w:rsidRPr="00725553">
        <w:rPr>
          <w:rFonts w:ascii="Helvetica" w:hAnsi="Helvetica" w:eastAsia="Helvetica" w:cs="Helvetica"/>
        </w:rPr>
        <w:t>Feedback should identify the strongest design achievement, explain the most important unresolved relationship and give a specific next step. Keep review records so the final reflection can evaluate how your judgement changed.</w:t>
      </w:r>
    </w:p>
    <w:p w14:paraId="4C22BFE5"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6C289A77"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Weekly programme and resources</w:t>
      </w:r>
    </w:p>
    <w:tbl>
      <w:tblPr>
        <w:tblW w:w="0" w:type="auto"/>
        <w:jc w:val="center"/>
        <w:tblLayout w:type="fixed"/>
        <w:tblLook w:val="04A0" w:firstRow="1" w:lastRow="0" w:firstColumn="1" w:lastColumn="0" w:noHBand="0" w:noVBand="1"/>
      </w:tblPr>
      <w:tblGrid>
        <w:gridCol w:w="1814"/>
        <w:gridCol w:w="4195"/>
        <w:gridCol w:w="3628"/>
      </w:tblGrid>
      <w:tr w:rsidR="00124937" w:rsidRPr="00725553" w14:paraId="0FE4025B" w14:textId="77777777">
        <w:trPr>
          <w:cantSplit/>
          <w:tblHeader/>
          <w:jc w:val="center"/>
        </w:trPr>
        <w:tc>
          <w:tcPr>
            <w:tcW w:w="1814"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6CBAC51C"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Week</w:t>
            </w:r>
          </w:p>
        </w:tc>
        <w:tc>
          <w:tcPr>
            <w:tcW w:w="4195"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5428A301"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Focus</w:t>
            </w:r>
          </w:p>
        </w:tc>
        <w:tc>
          <w:tcPr>
            <w:tcW w:w="3628" w:type="dxa"/>
            <w:tcBorders>
              <w:top w:val="single" w:sz="4" w:space="0" w:color="D9D9D9"/>
              <w:left w:val="single" w:sz="4" w:space="0" w:color="D9D9D9"/>
              <w:bottom w:val="single" w:sz="4" w:space="0" w:color="D9D9D9"/>
              <w:right w:val="single" w:sz="4" w:space="0" w:color="D9D9D9"/>
            </w:tcBorders>
            <w:shd w:val="clear" w:color="auto" w:fill="E5EBED"/>
            <w:tcMar>
              <w:top w:w="95" w:type="dxa"/>
              <w:left w:w="95" w:type="dxa"/>
              <w:bottom w:w="95" w:type="dxa"/>
              <w:right w:w="95" w:type="dxa"/>
            </w:tcMar>
            <w:vAlign w:val="center"/>
          </w:tcPr>
          <w:p w14:paraId="3602437E"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b/>
                <w:sz w:val="20"/>
              </w:rPr>
              <w:t>Milestone</w:t>
            </w:r>
          </w:p>
        </w:tc>
      </w:tr>
      <w:tr w:rsidR="00124937" w:rsidRPr="00725553" w14:paraId="18CE1CCE" w14:textId="77777777">
        <w:trPr>
          <w:cantSplit/>
          <w:jc w:val="center"/>
        </w:trPr>
        <w:tc>
          <w:tcPr>
            <w:tcW w:w="181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93B1EC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11–15 January</w:t>
            </w:r>
            <w:r w:rsidRPr="00725553">
              <w:rPr>
                <w:rFonts w:ascii="Helvetica" w:hAnsi="Helvetica" w:eastAsia="Helvetica" w:cs="Helvetica"/>
                <w:sz w:val="20"/>
              </w:rPr>
              <w:br/>
              <w:t>Online</w:t>
            </w:r>
          </w:p>
        </w:tc>
        <w:tc>
          <w:tcPr>
            <w:tcW w:w="4195"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2C1850D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Evidence, commoning, spatial justice, climate literacy and programme formation.</w:t>
            </w:r>
          </w:p>
        </w:tc>
        <w:tc>
          <w:tcPr>
            <w:tcW w:w="362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3BE344AB"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Friday 15 January: group agreement, brief and evidence review.</w:t>
            </w:r>
          </w:p>
        </w:tc>
      </w:tr>
      <w:tr w:rsidR="00124937" w:rsidRPr="00725553" w14:paraId="3105271C" w14:textId="77777777">
        <w:trPr>
          <w:cantSplit/>
          <w:jc w:val="center"/>
        </w:trPr>
        <w:tc>
          <w:tcPr>
            <w:tcW w:w="181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633C5A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18–22 January</w:t>
            </w:r>
            <w:r w:rsidRPr="00725553">
              <w:rPr>
                <w:rFonts w:ascii="Helvetica" w:hAnsi="Helvetica" w:eastAsia="Helvetica" w:cs="Helvetica"/>
                <w:sz w:val="20"/>
              </w:rPr>
              <w:br/>
              <w:t>Dunedin</w:t>
            </w:r>
          </w:p>
        </w:tc>
        <w:tc>
          <w:tcPr>
            <w:tcW w:w="4195"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7B32880F"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Authorised site investigation, mapping, three alternatives and concept selection.</w:t>
            </w:r>
          </w:p>
        </w:tc>
        <w:tc>
          <w:tcPr>
            <w:tcW w:w="3628"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5C9A92F8"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Friday 22 January: concept review, 1:50 group area and individual responsibilities agreed.</w:t>
            </w:r>
          </w:p>
        </w:tc>
      </w:tr>
      <w:tr w:rsidR="00124937" w:rsidRPr="00725553" w14:paraId="7E8A83CC" w14:textId="77777777">
        <w:trPr>
          <w:cantSplit/>
          <w:jc w:val="center"/>
        </w:trPr>
        <w:tc>
          <w:tcPr>
            <w:tcW w:w="1814"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2DBA300B"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25–29 January</w:t>
            </w:r>
            <w:r w:rsidRPr="00725553">
              <w:rPr>
                <w:rFonts w:ascii="Helvetica" w:hAnsi="Helvetica" w:eastAsia="Helvetica" w:cs="Helvetica"/>
                <w:sz w:val="20"/>
              </w:rPr>
              <w:br/>
              <w:t>Dunedin</w:t>
            </w:r>
          </w:p>
        </w:tc>
        <w:tc>
          <w:tcPr>
            <w:tcW w:w="4195"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5AD1EBCA"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Whole-building coordination, 1:50 development, climate tests and technical review.</w:t>
            </w:r>
          </w:p>
        </w:tc>
        <w:tc>
          <w:tcPr>
            <w:tcW w:w="3628" w:type="dxa"/>
            <w:tcBorders>
              <w:top w:val="single" w:sz="4" w:space="0" w:color="D9D9D9"/>
              <w:left w:val="single" w:sz="4" w:space="0" w:color="D9D9D9"/>
              <w:bottom w:val="single" w:sz="4" w:space="0" w:color="D9D9D9"/>
              <w:right w:val="single" w:sz="4" w:space="0" w:color="D9D9D9"/>
            </w:tcBorders>
            <w:shd w:val="clear" w:color="auto" w:fill="F5F6F6"/>
            <w:tcMar>
              <w:top w:w="95" w:type="dxa"/>
              <w:left w:w="95" w:type="dxa"/>
              <w:bottom w:w="95" w:type="dxa"/>
              <w:right w:w="95" w:type="dxa"/>
            </w:tcMar>
            <w:vAlign w:val="center"/>
          </w:tcPr>
          <w:p w14:paraId="424F7D66"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Friday 29 January: group M1–M6 and individual contribution review; completion plan.</w:t>
            </w:r>
          </w:p>
        </w:tc>
      </w:tr>
      <w:tr w:rsidR="00124937" w:rsidRPr="00725553" w14:paraId="48FECBCE" w14:textId="77777777">
        <w:trPr>
          <w:cantSplit/>
          <w:jc w:val="center"/>
        </w:trPr>
        <w:tc>
          <w:tcPr>
            <w:tcW w:w="1814"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22EF2FD5"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1–5 February</w:t>
            </w:r>
            <w:r w:rsidRPr="00725553">
              <w:rPr>
                <w:rFonts w:ascii="Helvetica" w:hAnsi="Helvetica" w:eastAsia="Helvetica" w:cs="Helvetica"/>
                <w:sz w:val="20"/>
              </w:rPr>
              <w:br/>
              <w:t>Online</w:t>
            </w:r>
          </w:p>
        </w:tc>
        <w:tc>
          <w:tcPr>
            <w:tcW w:w="4195"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4D0AC87C"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Resolve gaps, assemble portfolio, rehearse, present and reflect.</w:t>
            </w:r>
          </w:p>
        </w:tc>
        <w:tc>
          <w:tcPr>
            <w:tcW w:w="3628" w:type="dxa"/>
            <w:tcBorders>
              <w:top w:val="single" w:sz="4" w:space="0" w:color="D9D9D9"/>
              <w:left w:val="single" w:sz="4" w:space="0" w:color="D9D9D9"/>
              <w:bottom w:val="single" w:sz="4" w:space="0" w:color="D9D9D9"/>
              <w:right w:val="single" w:sz="4" w:space="0" w:color="D9D9D9"/>
            </w:tcBorders>
            <w:shd w:val="clear" w:color="auto" w:fill="FFFFFF"/>
            <w:tcMar>
              <w:top w:w="95" w:type="dxa"/>
              <w:left w:w="95" w:type="dxa"/>
              <w:bottom w:w="95" w:type="dxa"/>
              <w:right w:w="95" w:type="dxa"/>
            </w:tcMar>
            <w:vAlign w:val="center"/>
          </w:tcPr>
          <w:p w14:paraId="31BA092D" w14:textId="77777777" w:rsidR="00124937" w:rsidRPr="00725553" w:rsidRDefault="00000000">
            <w:pPr>
              <w:spacing w:after="40" w:line="247" w:lineRule="auto"/>
              <w:rPr>
                <w:rFonts w:ascii="Helvetica" w:hAnsi="Helvetica" w:eastAsia="Helvetica" w:cs="Helvetica"/>
              </w:rPr>
            </w:pPr>
            <w:r w:rsidRPr="00725553">
              <w:rPr>
                <w:rFonts w:ascii="Helvetica" w:hAnsi="Helvetica" w:eastAsia="Helvetica" w:cs="Helvetica"/>
                <w:sz w:val="20"/>
              </w:rPr>
              <w:t>Thursday 4 February: proposed portfolio deadline. Friday 5 February: final presentation and proposed reflection deadline.</w:t>
            </w:r>
          </w:p>
        </w:tc>
      </w:tr>
    </w:tbl>
    <w:p w14:paraId="71DD6A1C" w14:textId="77777777" w:rsidR="00124937" w:rsidRPr="00725553" w:rsidRDefault="00124937">
      <w:pPr>
        <w:spacing w:after="40" w:line="240" w:lineRule="auto"/>
        <w:rPr>
          <w:rFonts w:ascii="Helvetica" w:hAnsi="Helvetica" w:eastAsia="Helvetica" w:cs="Helvetica"/>
        </w:rPr>
      </w:pPr>
    </w:p>
    <w:p w14:paraId="563CB0ED" w14:textId="77777777" w:rsidR="00124937" w:rsidRPr="00725553" w:rsidRDefault="00000000">
      <w:pPr>
        <w:rPr>
          <w:rFonts w:ascii="Helvetica" w:hAnsi="Helvetica" w:eastAsia="Helvetica" w:cs="Helvetica"/>
        </w:rPr>
      </w:pPr>
      <w:r w:rsidRPr="00725553">
        <w:rPr>
          <w:rFonts w:ascii="Helvetica" w:hAnsi="Helvetica" w:eastAsia="Helvetica" w:cs="Helvetica"/>
        </w:rPr>
        <w:t>Consult the workshop timetable for daily sessions, preparation, outputs and review questions. Workshops and interim reviews are formative; they do not add separate weighted assessments.</w:t>
      </w:r>
    </w:p>
    <w:p w14:paraId="715C5E91"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Site and climate resources</w:t>
      </w:r>
    </w:p>
    <w:p w14:paraId="7FA4E525" w14:textId="77777777" w:rsidR="00124937" w:rsidRPr="00725553" w:rsidRDefault="00000000">
      <w:pPr>
        <w:rPr>
          <w:rFonts w:ascii="Helvetica" w:hAnsi="Helvetica" w:eastAsia="Helvetica" w:cs="Helvetica"/>
        </w:rPr>
      </w:pPr>
      <w:hyperlink r:id="rId8">
        <w:r w:rsidRPr="00725553">
          <w:rPr>
            <w:rFonts w:ascii="Helvetica" w:hAnsi="Helvetica" w:eastAsia="Helvetica" w:cs="Helvetica"/>
            <w:color w:val="245565"/>
          </w:rPr>
          <w:t>S1  Dunedin City Council  Industrial development history</w:t>
        </w:r>
      </w:hyperlink>
    </w:p>
    <w:p w14:paraId="73F7C209"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Historical context for the Gregg’s operation in Forth Street.</w:t>
      </w:r>
    </w:p>
    <w:p w14:paraId="02DBCE61" w14:textId="77777777" w:rsidR="00124937" w:rsidRPr="00725553" w:rsidRDefault="00000000">
      <w:pPr>
        <w:rPr>
          <w:rFonts w:ascii="Helvetica" w:hAnsi="Helvetica" w:eastAsia="Helvetica" w:cs="Helvetica"/>
        </w:rPr>
      </w:pPr>
      <w:hyperlink r:id="rId9">
        <w:r w:rsidRPr="00725553">
          <w:rPr>
            <w:rFonts w:ascii="Helvetica" w:hAnsi="Helvetica" w:eastAsia="Helvetica" w:cs="Helvetica"/>
            <w:color w:val="245565"/>
          </w:rPr>
          <w:t>S2  Otago Daily Times  Gregg’s coffee factory in Dunedin to close</w:t>
        </w:r>
      </w:hyperlink>
    </w:p>
    <w:p w14:paraId="4589237F"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Attributed closure reporting; recheck present status.</w:t>
      </w:r>
    </w:p>
    <w:p w14:paraId="3923AB30" w14:textId="77777777" w:rsidR="00124937" w:rsidRPr="00725553" w:rsidRDefault="00000000">
      <w:pPr>
        <w:rPr>
          <w:rFonts w:ascii="Helvetica" w:hAnsi="Helvetica" w:eastAsia="Helvetica" w:cs="Helvetica"/>
        </w:rPr>
      </w:pPr>
      <w:hyperlink r:id="rId10">
        <w:r w:rsidRPr="00725553">
          <w:rPr>
            <w:rFonts w:ascii="Helvetica" w:hAnsi="Helvetica" w:eastAsia="Helvetica" w:cs="Helvetica"/>
            <w:color w:val="245565"/>
          </w:rPr>
          <w:t>S3  Dunedin City Council  2GP plan and maps</w:t>
        </w:r>
      </w:hyperlink>
    </w:p>
    <w:p w14:paraId="286B1812"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Check current site provisions and overlays.</w:t>
      </w:r>
    </w:p>
    <w:p w14:paraId="2F8736E4" w14:textId="77777777" w:rsidR="00124937" w:rsidRPr="00725553" w:rsidRDefault="00000000">
      <w:pPr>
        <w:rPr>
          <w:rFonts w:ascii="Helvetica" w:hAnsi="Helvetica" w:eastAsia="Helvetica" w:cs="Helvetica"/>
        </w:rPr>
      </w:pPr>
      <w:hyperlink r:id="rId11">
        <w:r w:rsidRPr="00725553">
          <w:rPr>
            <w:rFonts w:ascii="Helvetica" w:hAnsi="Helvetica" w:eastAsia="Helvetica" w:cs="Helvetica"/>
            <w:color w:val="245565"/>
          </w:rPr>
          <w:t>S4  Otago Regional Council  Otago’s future climate</w:t>
        </w:r>
      </w:hyperlink>
    </w:p>
    <w:p w14:paraId="7151A630"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Climate projections and scenario selection.</w:t>
      </w:r>
    </w:p>
    <w:p w14:paraId="646165B6" w14:textId="77777777" w:rsidR="00124937" w:rsidRPr="00725553" w:rsidRDefault="00000000">
      <w:pPr>
        <w:rPr>
          <w:rFonts w:ascii="Helvetica" w:hAnsi="Helvetica" w:eastAsia="Helvetica" w:cs="Helvetica"/>
        </w:rPr>
      </w:pPr>
      <w:hyperlink r:id="rId12">
        <w:r w:rsidRPr="00725553">
          <w:rPr>
            <w:rFonts w:ascii="Helvetica" w:hAnsi="Helvetica" w:eastAsia="Helvetica" w:cs="Helvetica"/>
            <w:color w:val="245565"/>
          </w:rPr>
          <w:t>S5  Otago Regional Council  Natural hazards reports</w:t>
        </w:r>
      </w:hyperlink>
    </w:p>
    <w:p w14:paraId="0787F513"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Identify relevant local hazard evidence and its limits.</w:t>
      </w:r>
    </w:p>
    <w:p w14:paraId="05D19A58" w14:textId="77777777" w:rsidR="00124937" w:rsidRPr="00725553" w:rsidRDefault="00000000">
      <w:pPr>
        <w:rPr>
          <w:rFonts w:ascii="Helvetica" w:hAnsi="Helvetica" w:eastAsia="Helvetica" w:cs="Helvetica"/>
        </w:rPr>
      </w:pPr>
      <w:hyperlink r:id="rId13">
        <w:r w:rsidRPr="00725553">
          <w:rPr>
            <w:rFonts w:ascii="Helvetica" w:hAnsi="Helvetica" w:eastAsia="Helvetica" w:cs="Helvetica"/>
            <w:color w:val="245565"/>
          </w:rPr>
          <w:t>S6  Te Rūnanga o Ngāi Tahu  Mana whenua and the Ōtepoti development</w:t>
        </w:r>
      </w:hyperlink>
    </w:p>
    <w:p w14:paraId="551ADD89"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An example of relationships in Dunedin; not authority for this site.</w:t>
      </w:r>
    </w:p>
    <w:p w14:paraId="02B1BA1F"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Resource links checked on 8 October 2026. Recheck site, planning and hazard information at the start of the course. A case study establishes an example, not a performance claim for this proposal.</w:t>
      </w:r>
    </w:p>
    <w:p w14:paraId="773DF992" w14:textId="77777777" w:rsidR="00124937" w:rsidRPr="00725553" w:rsidRDefault="00000000">
      <w:pPr>
        <w:rPr>
          <w:rFonts w:ascii="Helvetica" w:hAnsi="Helvetica" w:eastAsia="Helvetica" w:cs="Helvetica"/>
        </w:rPr>
      </w:pPr>
      <w:r w:rsidRPr="00725553">
        <w:rPr>
          <w:rFonts w:ascii="Helvetica" w:hAnsi="Helvetica" w:eastAsia="Helvetica" w:cs="Helvetica"/>
        </w:rPr>
        <w:br w:type="page"/>
      </w:r>
    </w:p>
    <w:p w14:paraId="1F9C4CBB" w14:textId="77777777" w:rsidR="00124937" w:rsidRPr="00725553" w:rsidRDefault="00000000">
      <w:pPr>
        <w:pStyle w:val="Heading1"/>
        <w:rPr>
          <w:rFonts w:ascii="Helvetica" w:hAnsi="Helvetica" w:eastAsia="Helvetica" w:cs="Helvetica"/>
        </w:rPr>
      </w:pPr>
      <w:r w:rsidRPr="00725553">
        <w:rPr>
          <w:rFonts w:ascii="Helvetica" w:hAnsi="Helvetica" w:eastAsia="Helvetica" w:cs="Helvetica"/>
        </w:rPr>
        <w:lastRenderedPageBreak/>
        <w:t>Spatial justice and commoning resources</w:t>
      </w:r>
    </w:p>
    <w:p w14:paraId="4A38618C" w14:textId="77777777" w:rsidR="00124937" w:rsidRPr="00725553" w:rsidRDefault="00000000">
      <w:pPr>
        <w:rPr>
          <w:rFonts w:ascii="Helvetica" w:hAnsi="Helvetica" w:eastAsia="Helvetica" w:cs="Helvetica"/>
        </w:rPr>
      </w:pPr>
      <w:hyperlink r:id="rId14">
        <w:r w:rsidRPr="00725553">
          <w:rPr>
            <w:rFonts w:ascii="Helvetica" w:hAnsi="Helvetica" w:eastAsia="Helvetica" w:cs="Helvetica"/>
            <w:color w:val="245565"/>
          </w:rPr>
          <w:t>S7  Centre for the Just City  Spatial Justice Conceptual Model</w:t>
        </w:r>
      </w:hyperlink>
    </w:p>
    <w:p w14:paraId="700319DD"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Distributive, procedural and recognitional justice.</w:t>
      </w:r>
    </w:p>
    <w:p w14:paraId="4204239A" w14:textId="77777777" w:rsidR="00124937" w:rsidRPr="00725553" w:rsidRDefault="00000000">
      <w:pPr>
        <w:rPr>
          <w:rFonts w:ascii="Helvetica" w:hAnsi="Helvetica" w:eastAsia="Helvetica" w:cs="Helvetica"/>
        </w:rPr>
      </w:pPr>
      <w:hyperlink r:id="rId15">
        <w:r w:rsidRPr="00725553">
          <w:rPr>
            <w:rFonts w:ascii="Helvetica" w:hAnsi="Helvetica" w:eastAsia="Helvetica" w:cs="Helvetica"/>
            <w:color w:val="245565"/>
          </w:rPr>
          <w:t>S8  Centre for the Just City  ENGAGED stakeholder mapping</w:t>
        </w:r>
      </w:hyperlink>
    </w:p>
    <w:p w14:paraId="33D6AF93"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Map interests, power, participation and excluded voices.</w:t>
      </w:r>
    </w:p>
    <w:p w14:paraId="4E1A7211" w14:textId="77777777" w:rsidR="00124937" w:rsidRPr="00725553" w:rsidRDefault="00000000">
      <w:pPr>
        <w:rPr>
          <w:rFonts w:ascii="Helvetica" w:hAnsi="Helvetica" w:eastAsia="Helvetica" w:cs="Helvetica"/>
        </w:rPr>
      </w:pPr>
      <w:hyperlink r:id="rId16">
        <w:r w:rsidRPr="00725553">
          <w:rPr>
            <w:rFonts w:ascii="Helvetica" w:hAnsi="Helvetica" w:eastAsia="Helvetica" w:cs="Helvetica"/>
            <w:color w:val="245565"/>
          </w:rPr>
          <w:t>S9  Doina Petrescu  R Urban Commoning Resilience</w:t>
        </w:r>
      </w:hyperlink>
    </w:p>
    <w:p w14:paraId="6796E3F2"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Compare networks of shared facilities and the practices that sustain them.</w:t>
      </w:r>
    </w:p>
    <w:p w14:paraId="22B398BA" w14:textId="77777777" w:rsidR="00124937" w:rsidRPr="00725553" w:rsidRDefault="00000000">
      <w:pPr>
        <w:rPr>
          <w:rFonts w:ascii="Helvetica" w:hAnsi="Helvetica" w:eastAsia="Helvetica" w:cs="Helvetica"/>
        </w:rPr>
      </w:pPr>
      <w:hyperlink r:id="rId17">
        <w:r w:rsidRPr="00725553">
          <w:rPr>
            <w:rFonts w:ascii="Helvetica" w:hAnsi="Helvetica" w:eastAsia="Helvetica" w:cs="Helvetica"/>
            <w:color w:val="245565"/>
          </w:rPr>
          <w:t>S10  C40 Cities  Barcelona Superblocks</w:t>
        </w:r>
      </w:hyperlink>
    </w:p>
    <w:p w14:paraId="5EF6DAEE"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Street space, movement and everyday public life.</w:t>
      </w:r>
    </w:p>
    <w:p w14:paraId="3F39C19D" w14:textId="77777777" w:rsidR="00124937" w:rsidRPr="00725553" w:rsidRDefault="00000000">
      <w:pPr>
        <w:rPr>
          <w:rFonts w:ascii="Helvetica" w:hAnsi="Helvetica" w:eastAsia="Helvetica" w:cs="Helvetica"/>
        </w:rPr>
      </w:pPr>
      <w:hyperlink r:id="rId18">
        <w:r w:rsidRPr="00725553">
          <w:rPr>
            <w:rFonts w:ascii="Helvetica" w:hAnsi="Helvetica" w:eastAsia="Helvetica" w:cs="Helvetica"/>
            <w:color w:val="245565"/>
          </w:rPr>
          <w:t>S11  Marineterrein Amsterdam  Living Lab</w:t>
        </w:r>
      </w:hyperlink>
    </w:p>
    <w:p w14:paraId="25C5861E"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Real-world experiments, shared knowledge and site management.</w:t>
      </w:r>
    </w:p>
    <w:p w14:paraId="25B6FDD3" w14:textId="77777777" w:rsidR="00124937" w:rsidRPr="00725553" w:rsidRDefault="00000000">
      <w:pPr>
        <w:rPr>
          <w:rFonts w:ascii="Helvetica" w:hAnsi="Helvetica" w:eastAsia="Helvetica" w:cs="Helvetica"/>
        </w:rPr>
      </w:pPr>
      <w:hyperlink r:id="rId19">
        <w:r w:rsidRPr="00725553">
          <w:rPr>
            <w:rFonts w:ascii="Helvetica" w:hAnsi="Helvetica" w:eastAsia="Helvetica" w:cs="Helvetica"/>
            <w:color w:val="245565"/>
          </w:rPr>
          <w:t>S12  Life in Vacant Spaces  Christchurch</w:t>
        </w:r>
      </w:hyperlink>
    </w:p>
    <w:p w14:paraId="783441B8"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Access agreements and brokerage for temporary uses.</w:t>
      </w:r>
    </w:p>
    <w:p w14:paraId="07CA2748" w14:textId="77777777" w:rsidR="00124937" w:rsidRPr="00725553" w:rsidRDefault="00000000">
      <w:pPr>
        <w:rPr>
          <w:rFonts w:ascii="Helvetica" w:hAnsi="Helvetica" w:eastAsia="Helvetica" w:cs="Helvetica"/>
        </w:rPr>
      </w:pPr>
      <w:hyperlink r:id="rId20">
        <w:r w:rsidRPr="00725553">
          <w:rPr>
            <w:rFonts w:ascii="Helvetica" w:hAnsi="Helvetica" w:eastAsia="Helvetica" w:cs="Helvetica"/>
            <w:color w:val="245565"/>
          </w:rPr>
          <w:t>S13  Brand Nicholson and Allen  Placemaking and resilience</w:t>
        </w:r>
      </w:hyperlink>
    </w:p>
    <w:p w14:paraId="7151BD29"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2019 research on post-earthquake Christchurch, including the Commons.</w:t>
      </w:r>
    </w:p>
    <w:p w14:paraId="67D2BD16" w14:textId="77777777" w:rsidR="00124937" w:rsidRPr="00725553" w:rsidRDefault="00000000">
      <w:pPr>
        <w:rPr>
          <w:rFonts w:ascii="Helvetica" w:hAnsi="Helvetica" w:eastAsia="Helvetica" w:cs="Helvetica"/>
        </w:rPr>
      </w:pPr>
      <w:hyperlink r:id="rId21">
        <w:r w:rsidRPr="00725553">
          <w:rPr>
            <w:rFonts w:ascii="Helvetica" w:hAnsi="Helvetica" w:eastAsia="Helvetica" w:cs="Helvetica"/>
            <w:color w:val="245565"/>
          </w:rPr>
          <w:t>S14  Dombroski Diprose and Boles  Can the commons be temporary</w:t>
        </w:r>
      </w:hyperlink>
    </w:p>
    <w:p w14:paraId="1AACE41D" w14:textId="77777777" w:rsidR="00124937" w:rsidRPr="00725553" w:rsidRDefault="00000000">
      <w:pPr>
        <w:pStyle w:val="CaptionText"/>
        <w:rPr>
          <w:rFonts w:ascii="Helvetica" w:hAnsi="Helvetica" w:eastAsia="Helvetica" w:cs="Helvetica"/>
        </w:rPr>
      </w:pPr>
      <w:r w:rsidRPr="00725553">
        <w:rPr>
          <w:rFonts w:ascii="Helvetica" w:hAnsi="Helvetica" w:eastAsia="Helvetica" w:cs="Helvetica"/>
        </w:rPr>
        <w:t>2019 article; university repository with author manuscript. DOI 10.1080/13549839.2019.1567480.</w:t>
      </w:r>
    </w:p>
    <w:p w14:paraId="75B7EE52"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How to study a precedent</w:t>
      </w:r>
    </w:p>
    <w:p w14:paraId="2C3EAC10" w14:textId="77777777" w:rsidR="00124937" w:rsidRPr="00725553" w:rsidRDefault="00000000">
      <w:pPr>
        <w:rPr>
          <w:rFonts w:ascii="Helvetica" w:hAnsi="Helvetica" w:eastAsia="Helvetica" w:cs="Helvetica"/>
        </w:rPr>
      </w:pPr>
      <w:r w:rsidRPr="00725553">
        <w:rPr>
          <w:rFonts w:ascii="Helvetica" w:hAnsi="Helvetica" w:eastAsia="Helvetica" w:cs="Helvetica"/>
        </w:rPr>
        <w:t>Compare its resource, access agreement, everyday practices, governance, funding, maintenance, spatial form and wider network. Draw one transferable relationship and identify one limit to applying it here. Investigate who is absent from promotional accounts and where evidence of outcomes is weak.</w:t>
      </w:r>
    </w:p>
    <w:p w14:paraId="7B5BA76B" w14:textId="77777777" w:rsidR="00124937" w:rsidRPr="00725553" w:rsidRDefault="00000000">
      <w:pPr>
        <w:rPr>
          <w:rFonts w:ascii="Helvetica" w:hAnsi="Helvetica" w:eastAsia="Helvetica" w:cs="Helvetica"/>
        </w:rPr>
      </w:pPr>
      <w:r w:rsidRPr="00725553">
        <w:rPr>
          <w:rFonts w:ascii="Helvetica" w:hAnsi="Helvetica" w:eastAsia="Helvetica" w:cs="Helvetica"/>
        </w:rPr>
        <w:t>R-Urban offers a way to think about connected facilities and shared practices. Barcelona Superblocks raises questions about reallocating streets and the effects on adjacent routes. Marineterrein tests partnerships and experimentation in a managed site. LiVS highlights access agreements and the vulnerability and possibilities of temporary occupation. [S9–S14]</w:t>
      </w:r>
    </w:p>
    <w:p w14:paraId="0632AA43" w14:textId="77777777" w:rsidR="00124937" w:rsidRPr="00725553" w:rsidRDefault="00000000">
      <w:pPr>
        <w:pStyle w:val="Heading2"/>
        <w:rPr>
          <w:rFonts w:ascii="Helvetica" w:hAnsi="Helvetica" w:eastAsia="Helvetica" w:cs="Helvetica"/>
        </w:rPr>
      </w:pPr>
      <w:r w:rsidRPr="00725553">
        <w:rPr>
          <w:rFonts w:ascii="Helvetica" w:hAnsi="Helvetica" w:eastAsia="Helvetica" w:cs="Helvetica"/>
        </w:rPr>
        <w:t>Publication and exhibition</w:t>
      </w:r>
    </w:p>
    <w:p w14:paraId="60BA7F84" w14:textId="77777777" w:rsidR="00124937" w:rsidRPr="00725553" w:rsidRDefault="00000000">
      <w:pPr>
        <w:rPr>
          <w:rFonts w:ascii="Helvetica" w:hAnsi="Helvetica" w:eastAsia="Helvetica" w:cs="Helvetica"/>
        </w:rPr>
      </w:pPr>
      <w:r w:rsidRPr="00725553">
        <w:rPr>
          <w:rFonts w:ascii="Helvetica" w:hAnsi="Helvetica" w:eastAsia="Helvetica" w:cs="Helvetica"/>
        </w:rPr>
        <w:t>The portfolio’s opening page doubles as a project summary for a future digital publication. Include a 150-word proposition, a context diagram, a key section and a spatial view with credits. Any exhibition format, venue, publication schedule and permissions will be agreed separately.</w:t>
      </w:r>
    </w:p>
    <w:sectPr w:rsidR="00124937" w:rsidRPr="00725553" w:rsidSect="00034616">
      <w:footerReference w:type="default" r:id="rId22"/>
      <w:pgSz w:w="11906" w:h="16838"/>
      <w:pgMar w:top="1020" w:right="1134" w:bottom="907" w:left="1134"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30BC05" w14:textId="77777777" w:rsidR="00290407" w:rsidRDefault="00290407">
      <w:pPr>
        <w:spacing w:after="0" w:line="240" w:lineRule="auto"/>
      </w:pPr>
      <w:r>
        <w:rPr>
          <w:rFonts w:ascii="Helvetica" w:hAnsi="Helvetica" w:eastAsia="Helvetica" w:cs="Helvetica"/>
        </w:rPr>
        <w:separator/>
      </w:r>
    </w:p>
  </w:endnote>
  <w:endnote w:type="continuationSeparator" w:id="0">
    <w:p w14:paraId="08717D79" w14:textId="77777777" w:rsidR="00290407" w:rsidRDefault="00290407">
      <w:pPr>
        <w:spacing w:after="0" w:line="240" w:lineRule="auto"/>
      </w:pPr>
      <w:r>
        <w:rPr>
          <w:rFonts w:ascii="Helvetica" w:hAnsi="Helvetica" w:eastAsia="Helvetica" w:cs="Helvetic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391B4" w14:textId="77777777" w:rsidR="00124937" w:rsidRPr="00725553" w:rsidRDefault="00000000">
    <w:pPr>
      <w:pStyle w:val="Footer"/>
      <w:jc w:val="right"/>
      <w:rPr>
        <w:rFonts w:ascii="Helvetica" w:hAnsi="Helvetica" w:eastAsia="Helvetica" w:cs="Helvetica"/>
      </w:rPr>
    </w:pPr>
    <w:r w:rsidRPr="00725553">
      <w:rPr>
        <w:rFonts w:ascii="Helvetica" w:hAnsi="Helvetica" w:eastAsia="Helvetica" w:cs="Helvetica"/>
        <w:sz w:val="18"/>
      </w:rPr>
      <w:t xml:space="preserve">Atelier South 2027  |  Course outline  |  </w:t>
    </w:r>
    <w:r w:rsidRPr="00725553">
      <w:rPr>
        <w:rFonts w:ascii="Helvetica" w:hAnsi="Helvetica" w:eastAsia="Helvetica" w:cs="Helvetica"/>
      </w:rPr>
      <w:fldChar w:fldCharType="begin"/>
    </w:r>
    <w:r w:rsidRPr="00725553">
      <w:rPr>
        <w:rFonts w:ascii="Helvetica" w:hAnsi="Helvetica" w:eastAsia="Helvetica" w:cs="Helvetica"/>
      </w:rPr>
      <w:instrText>PAGE</w:instrText>
    </w:r>
    <w:r w:rsidRPr="00725553">
      <w:rPr>
        <w:rFonts w:ascii="Helvetica" w:hAnsi="Helvetica" w:eastAsia="Helvetica" w:cs="Helvetica"/>
      </w:rPr>
      <w:fldChar w:fldCharType="separate"/>
    </w:r>
    <w:r w:rsidR="00725553" w:rsidRPr="00725553">
      <w:rPr>
        <w:rFonts w:ascii="Helvetica" w:hAnsi="Helvetica" w:eastAsia="Helvetica" w:cs="Helvetica"/>
        <w:noProof/>
      </w:rPr>
      <w:t>1</w:t>
    </w:r>
    <w:r w:rsidRPr="00725553">
      <w:rPr>
        <w:rFonts w:ascii="Helvetica" w:hAnsi="Helvetica" w:eastAsia="Helvetica" w:cs="Helveti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62FB64" w14:textId="77777777" w:rsidR="00290407" w:rsidRDefault="00290407">
      <w:pPr>
        <w:spacing w:after="0" w:line="240" w:lineRule="auto"/>
      </w:pPr>
      <w:r>
        <w:rPr>
          <w:rFonts w:ascii="Helvetica" w:hAnsi="Helvetica" w:eastAsia="Helvetica" w:cs="Helvetica"/>
        </w:rPr>
        <w:separator/>
      </w:r>
    </w:p>
  </w:footnote>
  <w:footnote w:type="continuationSeparator" w:id="0">
    <w:p w14:paraId="0EE5F534" w14:textId="77777777" w:rsidR="00290407" w:rsidRDefault="00290407">
      <w:pPr>
        <w:spacing w:after="0" w:line="240" w:lineRule="auto"/>
      </w:pPr>
      <w:r>
        <w:rPr>
          <w:rFonts w:ascii="Helvetica" w:hAnsi="Helvetica" w:eastAsia="Helvetica" w:cs="Helvetica"/>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Helvetica" w:hAnsi="Helvetica" w:eastAsia="Helvetica" w:cs="Helvetica"/>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Helvetica" w:hAnsi="Helvetica" w:eastAsia="Helvetica" w:cs="Helvetica"/>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Helvetica" w:hAnsi="Helvetica" w:eastAsia="Helvetica" w:cs="Helvetica"/>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Helvetica" w:hAnsi="Helvetica" w:eastAsia="Helvetica" w:cs="Helvetica"/>
      </w:rPr>
    </w:lvl>
  </w:abstractNum>
  <w:num w:numId="1" w16cid:durableId="1495872966">
    <w:abstractNumId w:val="8"/>
  </w:num>
  <w:num w:numId="2" w16cid:durableId="117072734">
    <w:abstractNumId w:val="6"/>
  </w:num>
  <w:num w:numId="3" w16cid:durableId="970671898">
    <w:abstractNumId w:val="5"/>
  </w:num>
  <w:num w:numId="4" w16cid:durableId="2107462849">
    <w:abstractNumId w:val="4"/>
  </w:num>
  <w:num w:numId="5" w16cid:durableId="1963882273">
    <w:abstractNumId w:val="7"/>
  </w:num>
  <w:num w:numId="6" w16cid:durableId="1124999125">
    <w:abstractNumId w:val="3"/>
  </w:num>
  <w:num w:numId="7" w16cid:durableId="2128696772">
    <w:abstractNumId w:val="2"/>
  </w:num>
  <w:num w:numId="8" w16cid:durableId="177240114">
    <w:abstractNumId w:val="1"/>
  </w:num>
  <w:num w:numId="9" w16cid:durableId="6278568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4937"/>
    <w:rsid w:val="0015074B"/>
    <w:rsid w:val="00290407"/>
    <w:rsid w:val="0029639D"/>
    <w:rsid w:val="00326F90"/>
    <w:rsid w:val="00725553"/>
    <w:rsid w:val="009D0527"/>
    <w:rsid w:val="00A40EF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00701"/>
  <w14:defaultImageDpi w14:val="300"/>
  <w15:docId w15:val="{EDD4D4F8-B060-4047-809A-58F9FC4890B9}"/>
  <w:showAll w:val="0"/>
  <w:showBreaks w:val="0"/>
  <w:showSpaces w:val="0"/>
  <w:showTabs w:val="0"/>
  <w:showParagraphMarks w:val="0"/>
  <w:showOptionalHyphens w:val="0"/>
  <w:showHiddenText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hAnsi="Helvetica" w:eastAsia="Helvetica" w:cs="Helvetic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Helvetica" w:hAnsi="Helvetica" w:eastAsia="Helvetica" w:cs="Helvetica"/>
      <w:color w:val="000000"/>
      <w:lang w:val="en-NZ"/>
    </w:rPr>
  </w:style>
  <w:style w:type="paragraph" w:styleId="Heading1">
    <w:name w:val="heading 1"/>
    <w:basedOn w:val="Normal"/>
    <w:next w:val="Normal"/>
    <w:link w:val="Heading1Char"/>
    <w:uiPriority w:val="9"/>
    <w:qFormat/>
    <w:rsid w:val="00FC693F"/>
    <w:pPr>
      <w:keepNext/>
      <w:keepLines/>
      <w:spacing w:before="180" w:after="140"/>
      <w:outlineLvl w:val="0"/>
    </w:pPr>
    <w:rPr>
      <w:rFonts w:ascii="Helvetica" w:hAnsi="Helvetica" w:eastAsia="Helvetica" w:cs="Helvetica"/>
      <w:b/>
      <w:bCs/>
      <w:sz w:val="42"/>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Helvetica" w:hAnsi="Helvetica" w:eastAsia="Helvetica" w:cs="Helvetica"/>
      <w:b/>
      <w:bCs/>
      <w:sz w:val="26"/>
      <w:szCs w:val="26"/>
    </w:rPr>
  </w:style>
  <w:style w:type="paragraph" w:styleId="Heading3">
    <w:name w:val="heading 3"/>
    <w:basedOn w:val="Normal"/>
    <w:next w:val="Normal"/>
    <w:link w:val="Heading3Char"/>
    <w:uiPriority w:val="9"/>
    <w:unhideWhenUsed/>
    <w:qFormat/>
    <w:rsid w:val="00FC693F"/>
    <w:pPr>
      <w:keepNext/>
      <w:keepLines/>
      <w:spacing w:before="180" w:after="140"/>
      <w:outlineLvl w:val="2"/>
    </w:pPr>
    <w:rPr>
      <w:rFonts w:ascii="Helvetica" w:hAnsi="Helvetica" w:eastAsia="Helvetica" w:cs="Helvetica"/>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Helvetica" w:hAnsi="Helvetica" w:eastAsia="Helvetica" w:cs="Helvetic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Helvetica" w:hAnsi="Helvetica" w:eastAsia="Helvetica" w:cs="Helvetic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Helvetica" w:hAnsi="Helvetica" w:eastAsia="Helvetica" w:cs="Helvetic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Helvetica" w:hAnsi="Helvetica" w:eastAsia="Helvetica" w:cs="Helvetic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Helvetica" w:hAnsi="Helvetica" w:eastAsia="Helvetica" w:cs="Helvetic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Helvetica" w:hAnsi="Helvetica" w:eastAsia="Helvetica" w:cs="Helvetic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Helvetica" w:hAnsi="Helvetica" w:eastAsia="Helvetica" w:cs="Helvetic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Helvetica" w:hAnsi="Helvetica" w:eastAsia="Helvetica" w:cs="Helvetica"/>
      <w:b/>
      <w:bCs/>
      <w:color w:val="4F81BD" w:themeColor="accent1"/>
      <w:sz w:val="26"/>
      <w:szCs w:val="26"/>
    </w:rPr>
  </w:style>
  <w:style w:type="character" w:customStyle="1" w:styleId="Heading3Char">
    <w:name w:val="Heading 3 Char"/>
    <w:basedOn w:val="DefaultParagraphFont"/>
    <w:link w:val="Heading3"/>
    <w:uiPriority w:val="9"/>
    <w:rsid w:val="00FC693F"/>
    <w:rPr>
      <w:rFonts w:ascii="Helvetica" w:hAnsi="Helvetica" w:eastAsia="Helvetica" w:cs="Helvetica"/>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Helvetica" w:hAnsi="Helvetica" w:eastAsia="Helvetica" w:cs="Helvetica"/>
      <w:spacing w:val="5"/>
      <w:kern w:val="28"/>
      <w:sz w:val="56"/>
      <w:szCs w:val="52"/>
    </w:rPr>
  </w:style>
  <w:style w:type="character" w:customStyle="1" w:styleId="TitleChar">
    <w:name w:val="Title Char"/>
    <w:basedOn w:val="DefaultParagraphFont"/>
    <w:link w:val="Title"/>
    <w:uiPriority w:val="10"/>
    <w:rsid w:val="00FC693F"/>
    <w:rPr>
      <w:rFonts w:ascii="Helvetica" w:hAnsi="Helvetica" w:eastAsia="Helvetica" w:cs="Helvetic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Helvetica" w:hAnsi="Helvetica" w:eastAsia="Helvetica" w:cs="Helvetica"/>
      <w:i/>
      <w:iCs/>
      <w:spacing w:val="15"/>
      <w:sz w:val="30"/>
      <w:szCs w:val="24"/>
    </w:rPr>
  </w:style>
  <w:style w:type="character" w:customStyle="1" w:styleId="SubtitleChar">
    <w:name w:val="Subtitle Char"/>
    <w:basedOn w:val="DefaultParagraphFont"/>
    <w:link w:val="Subtitle"/>
    <w:uiPriority w:val="11"/>
    <w:rsid w:val="00FC693F"/>
    <w:rPr>
      <w:rFonts w:ascii="Helvetica" w:hAnsi="Helvetica" w:eastAsia="Helvetica" w:cs="Helvetica"/>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Fonts w:ascii="Helvetica" w:hAnsi="Helvetica" w:eastAsia="Helvetica" w:cs="Helvetica"/>
    </w:rPr>
  </w:style>
  <w:style w:type="character" w:customStyle="1" w:styleId="BodyText3Char">
    <w:name w:val="Body Text 3 Char"/>
    <w:basedOn w:val="DefaultParagraphFont"/>
    <w:link w:val="BodyText3"/>
    <w:uiPriority w:val="99"/>
    <w:rsid w:val="00AA1D8D"/>
    <w:rPr>
      <w:sz w:val="16"/>
      <w:szCs w:val="16"/>
      <w:rFonts w:ascii="Helvetica" w:hAnsi="Helvetica" w:eastAsia="Helvetica" w:cs="Helvetica"/>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elvetica" w:hAnsi="Helvetica" w:eastAsia="Helvetica" w:cs="Helvetica"/>
      <w:sz w:val="20"/>
      <w:szCs w:val="20"/>
    </w:rPr>
  </w:style>
  <w:style w:type="character" w:customStyle="1" w:styleId="MacroTextChar">
    <w:name w:val="Macro Text Char"/>
    <w:basedOn w:val="DefaultParagraphFont"/>
    <w:link w:val="MacroText"/>
    <w:uiPriority w:val="99"/>
    <w:rsid w:val="0029639D"/>
    <w:rPr>
      <w:rFonts w:ascii="Helvetica" w:hAnsi="Helvetica" w:eastAsia="Helvetica" w:cs="Helvetica"/>
      <w:sz w:val="20"/>
      <w:szCs w:val="20"/>
    </w:rPr>
  </w:style>
  <w:style w:type="paragraph" w:styleId="Quote">
    <w:name w:val="Quote"/>
    <w:basedOn w:val="Normal"/>
    <w:next w:val="Normal"/>
    <w:link w:val="QuoteChar"/>
    <w:uiPriority w:val="29"/>
    <w:qFormat/>
    <w:rsid w:val="00FC693F"/>
    <w:rPr>
      <w:i/>
      <w:iCs/>
      <w:color w:val="000000" w:themeColor="text1"/>
      <w:rFonts w:ascii="Helvetica" w:hAnsi="Helvetica" w:eastAsia="Helvetica" w:cs="Helvetica"/>
    </w:rPr>
  </w:style>
  <w:style w:type="character" w:customStyle="1" w:styleId="QuoteChar">
    <w:name w:val="Quote Char"/>
    <w:basedOn w:val="DefaultParagraphFont"/>
    <w:link w:val="Quote"/>
    <w:uiPriority w:val="29"/>
    <w:rsid w:val="00FC693F"/>
    <w:rPr>
      <w:i/>
      <w:iCs/>
      <w:color w:val="000000" w:themeColor="text1"/>
      <w:rFonts w:ascii="Helvetica" w:hAnsi="Helvetica" w:eastAsia="Helvetica" w:cs="Helvetica"/>
    </w:rPr>
  </w:style>
  <w:style w:type="character" w:customStyle="1" w:styleId="Heading4Char">
    <w:name w:val="Heading 4 Char"/>
    <w:basedOn w:val="DefaultParagraphFont"/>
    <w:link w:val="Heading4"/>
    <w:uiPriority w:val="9"/>
    <w:semiHidden/>
    <w:rsid w:val="00FC693F"/>
    <w:rPr>
      <w:rFonts w:ascii="Helvetica" w:hAnsi="Helvetica" w:eastAsia="Helvetica" w:cs="Helvetica"/>
      <w:b/>
      <w:bCs/>
      <w:i/>
      <w:iCs/>
      <w:color w:val="4F81BD" w:themeColor="accent1"/>
    </w:rPr>
  </w:style>
  <w:style w:type="character" w:customStyle="1" w:styleId="Heading5Char">
    <w:name w:val="Heading 5 Char"/>
    <w:basedOn w:val="DefaultParagraphFont"/>
    <w:link w:val="Heading5"/>
    <w:uiPriority w:val="9"/>
    <w:semiHidden/>
    <w:rsid w:val="00FC693F"/>
    <w:rPr>
      <w:rFonts w:ascii="Helvetica" w:hAnsi="Helvetica" w:eastAsia="Helvetica" w:cs="Helvetica"/>
      <w:color w:val="243F60" w:themeColor="accent1" w:themeShade="7F"/>
    </w:rPr>
  </w:style>
  <w:style w:type="character" w:customStyle="1" w:styleId="Heading6Char">
    <w:name w:val="Heading 6 Char"/>
    <w:basedOn w:val="DefaultParagraphFont"/>
    <w:link w:val="Heading6"/>
    <w:uiPriority w:val="9"/>
    <w:semiHidden/>
    <w:rsid w:val="00FC693F"/>
    <w:rPr>
      <w:rFonts w:ascii="Helvetica" w:hAnsi="Helvetica" w:eastAsia="Helvetica" w:cs="Helvetica"/>
      <w:i/>
      <w:iCs/>
      <w:color w:val="243F60" w:themeColor="accent1" w:themeShade="7F"/>
    </w:rPr>
  </w:style>
  <w:style w:type="character" w:customStyle="1" w:styleId="Heading7Char">
    <w:name w:val="Heading 7 Char"/>
    <w:basedOn w:val="DefaultParagraphFont"/>
    <w:link w:val="Heading7"/>
    <w:uiPriority w:val="9"/>
    <w:semiHidden/>
    <w:rsid w:val="00FC693F"/>
    <w:rPr>
      <w:rFonts w:ascii="Helvetica" w:hAnsi="Helvetica" w:eastAsia="Helvetica" w:cs="Helvetica"/>
      <w:i/>
      <w:iCs/>
      <w:color w:val="404040" w:themeColor="text1" w:themeTint="BF"/>
    </w:rPr>
  </w:style>
  <w:style w:type="character" w:customStyle="1" w:styleId="Heading8Char">
    <w:name w:val="Heading 8 Char"/>
    <w:basedOn w:val="DefaultParagraphFont"/>
    <w:link w:val="Heading8"/>
    <w:uiPriority w:val="9"/>
    <w:semiHidden/>
    <w:rsid w:val="00FC693F"/>
    <w:rPr>
      <w:rFonts w:ascii="Helvetica" w:hAnsi="Helvetica" w:eastAsia="Helvetica" w:cs="Helvetica"/>
      <w:color w:val="4F81BD" w:themeColor="accent1"/>
      <w:sz w:val="20"/>
      <w:szCs w:val="20"/>
    </w:rPr>
  </w:style>
  <w:style w:type="character" w:customStyle="1" w:styleId="Heading9Char">
    <w:name w:val="Heading 9 Char"/>
    <w:basedOn w:val="DefaultParagraphFont"/>
    <w:link w:val="Heading9"/>
    <w:uiPriority w:val="9"/>
    <w:semiHidden/>
    <w:rsid w:val="00FC693F"/>
    <w:rPr>
      <w:rFonts w:ascii="Helvetica" w:hAnsi="Helvetica" w:eastAsia="Helvetica" w:cs="Helvetica"/>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Fonts w:ascii="Helvetica" w:hAnsi="Helvetica" w:eastAsia="Helvetica" w:cs="Helvetica"/>
    </w:rPr>
  </w:style>
  <w:style w:type="character" w:styleId="Strong">
    <w:name w:val="Strong"/>
    <w:basedOn w:val="DefaultParagraphFont"/>
    <w:uiPriority w:val="22"/>
    <w:qFormat/>
    <w:rsid w:val="00FC693F"/>
    <w:rPr>
      <w:b/>
      <w:bCs/>
      <w:rFonts w:ascii="Helvetica" w:hAnsi="Helvetica" w:eastAsia="Helvetica" w:cs="Helvetica"/>
    </w:rPr>
  </w:style>
  <w:style w:type="character" w:styleId="Emphasis">
    <w:name w:val="Emphasis"/>
    <w:basedOn w:val="DefaultParagraphFont"/>
    <w:uiPriority w:val="20"/>
    <w:qFormat/>
    <w:rsid w:val="00FC693F"/>
    <w:rPr>
      <w:i/>
      <w:iCs/>
      <w:rFonts w:ascii="Helvetica" w:hAnsi="Helvetica" w:eastAsia="Helvetica" w:cs="Helvetica"/>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Fonts w:ascii="Helvetica" w:hAnsi="Helvetica" w:eastAsia="Helvetica" w:cs="Helvetica"/>
    </w:rPr>
  </w:style>
  <w:style w:type="character" w:customStyle="1" w:styleId="IntenseQuoteChar">
    <w:name w:val="Intense Quote Char"/>
    <w:basedOn w:val="DefaultParagraphFont"/>
    <w:link w:val="IntenseQuote"/>
    <w:uiPriority w:val="30"/>
    <w:rsid w:val="00FC693F"/>
    <w:rPr>
      <w:b/>
      <w:bCs/>
      <w:i/>
      <w:iCs/>
      <w:color w:val="4F81BD" w:themeColor="accent1"/>
      <w:rFonts w:ascii="Helvetica" w:hAnsi="Helvetica" w:eastAsia="Helvetica" w:cs="Helvetica"/>
    </w:rPr>
  </w:style>
  <w:style w:type="character" w:styleId="SubtleEmphasis">
    <w:name w:val="Subtle Emphasis"/>
    <w:basedOn w:val="DefaultParagraphFont"/>
    <w:uiPriority w:val="19"/>
    <w:qFormat/>
    <w:rsid w:val="00FC693F"/>
    <w:rPr>
      <w:i/>
      <w:iCs/>
      <w:color w:val="808080" w:themeColor="text1" w:themeTint="7F"/>
      <w:rFonts w:ascii="Helvetica" w:hAnsi="Helvetica" w:eastAsia="Helvetica" w:cs="Helvetica"/>
    </w:rPr>
  </w:style>
  <w:style w:type="character" w:styleId="IntenseEmphasis">
    <w:name w:val="Intense Emphasis"/>
    <w:basedOn w:val="DefaultParagraphFont"/>
    <w:uiPriority w:val="21"/>
    <w:qFormat/>
    <w:rsid w:val="00FC693F"/>
    <w:rPr>
      <w:b/>
      <w:bCs/>
      <w:i/>
      <w:iCs/>
      <w:color w:val="4F81BD" w:themeColor="accent1"/>
      <w:rFonts w:ascii="Helvetica" w:hAnsi="Helvetica" w:eastAsia="Helvetica" w:cs="Helvetica"/>
    </w:rPr>
  </w:style>
  <w:style w:type="character" w:styleId="SubtleReference">
    <w:name w:val="Subtle Reference"/>
    <w:basedOn w:val="DefaultParagraphFont"/>
    <w:uiPriority w:val="31"/>
    <w:qFormat/>
    <w:rsid w:val="00FC693F"/>
    <w:rPr>
      <w:smallCaps/>
      <w:color w:val="C0504D" w:themeColor="accent2"/>
      <w:u w:val="single"/>
      <w:rFonts w:ascii="Helvetica" w:hAnsi="Helvetica" w:eastAsia="Helvetica" w:cs="Helvetica"/>
    </w:rPr>
  </w:style>
  <w:style w:type="character" w:styleId="IntenseReference">
    <w:name w:val="Intense Reference"/>
    <w:basedOn w:val="DefaultParagraphFont"/>
    <w:uiPriority w:val="32"/>
    <w:qFormat/>
    <w:rsid w:val="00FC693F"/>
    <w:rPr>
      <w:b/>
      <w:bCs/>
      <w:smallCaps/>
      <w:color w:val="C0504D" w:themeColor="accent2"/>
      <w:spacing w:val="5"/>
      <w:u w:val="single"/>
      <w:rFonts w:ascii="Helvetica" w:hAnsi="Helvetica" w:eastAsia="Helvetica" w:cs="Helvetica"/>
    </w:rPr>
  </w:style>
  <w:style w:type="character" w:styleId="BookTitle">
    <w:name w:val="Book Title"/>
    <w:basedOn w:val="DefaultParagraphFont"/>
    <w:uiPriority w:val="33"/>
    <w:qFormat/>
    <w:rsid w:val="00FC693F"/>
    <w:rPr>
      <w:b/>
      <w:bCs/>
      <w:smallCaps/>
      <w:spacing w:val="5"/>
      <w:rFonts w:ascii="Helvetica" w:hAnsi="Helvetica" w:eastAsia="Helvetica" w:cs="Helvetica"/>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Helvetica" w:hAnsi="Helvetica" w:eastAsia="Helvetica" w:cs="Helveti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Helvetica" w:hAnsi="Helvetica" w:eastAsia="Helvetica" w:cs="Helvetica"/>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Helvetica" w:hAnsi="Helvetica" w:eastAsia="Helvetica" w:cs="Helvetic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Helvetica" w:hAnsi="Helvetica" w:eastAsia="Helvetica" w:cs="Helvetica"/>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Helvetica" w:hAnsi="Helvetica" w:eastAsia="Helvetica" w:cs="Helvetica"/>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Helvetica" w:hAnsi="Helvetica" w:eastAsia="Helvetica" w:cs="Helvetica"/>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Helvetica" w:hAnsi="Helvetica" w:eastAsia="Helvetica" w:cs="Helvetica"/>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Helvetica" w:hAnsi="Helvetica" w:eastAsia="Helvetica" w:cs="Helvetica"/>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Helvetica" w:hAnsi="Helvetica" w:eastAsia="Helvetica" w:cs="Helvetica"/>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Helvetica" w:hAnsi="Helvetica" w:eastAsia="Helvetica" w:cs="Helvetica"/>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Helvetica" w:hAnsi="Helvetica" w:eastAsia="Helvetica" w:cs="Helvetica"/>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Helvetica" w:hAnsi="Helvetica" w:eastAsia="Helvetica" w:cs="Helvetica"/>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Helvetica" w:hAnsi="Helvetica" w:eastAsia="Helvetica" w:cs="Helvetica"/>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Helvetica" w:hAnsi="Helvetica" w:eastAsia="Helvetica" w:cs="Helvetica"/>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Helvetica" w:hAnsi="Helvetica" w:eastAsia="Helvetica" w:cs="Helvetica"/>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000000" w:themeFill="text1"/>
      </w:tcPr>
    </w:tblStylePr>
    <w:tblStylePr w:type="lastRow">
      <w:pPr>
        <w:spacing w:before="0" w:after="0" w:line="240" w:lineRule="auto"/>
      </w:pPr>
      <w:rPr>
        <w:b/>
        <w:bCs/>
        <w:rFonts w:ascii="Helvetica" w:hAnsi="Helvetica" w:eastAsia="Helvetica" w:cs="Helvetica"/>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4F81BD" w:themeFill="accent1"/>
      </w:tcPr>
    </w:tblStylePr>
    <w:tblStylePr w:type="lastRow">
      <w:pPr>
        <w:spacing w:before="0" w:after="0" w:line="240" w:lineRule="auto"/>
      </w:pPr>
      <w:rPr>
        <w:b/>
        <w:bCs/>
        <w:rFonts w:ascii="Helvetica" w:hAnsi="Helvetica" w:eastAsia="Helvetica" w:cs="Helvetica"/>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C0504D" w:themeFill="accent2"/>
      </w:tcPr>
    </w:tblStylePr>
    <w:tblStylePr w:type="lastRow">
      <w:pPr>
        <w:spacing w:before="0" w:after="0" w:line="240" w:lineRule="auto"/>
      </w:pPr>
      <w:rPr>
        <w:b/>
        <w:bCs/>
        <w:rFonts w:ascii="Helvetica" w:hAnsi="Helvetica" w:eastAsia="Helvetica" w:cs="Helvetica"/>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9BBB59" w:themeFill="accent3"/>
      </w:tcPr>
    </w:tblStylePr>
    <w:tblStylePr w:type="lastRow">
      <w:pPr>
        <w:spacing w:before="0" w:after="0" w:line="240" w:lineRule="auto"/>
      </w:pPr>
      <w:rPr>
        <w:b/>
        <w:bCs/>
        <w:rFonts w:ascii="Helvetica" w:hAnsi="Helvetica" w:eastAsia="Helvetica" w:cs="Helvetica"/>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8064A2" w:themeFill="accent4"/>
      </w:tcPr>
    </w:tblStylePr>
    <w:tblStylePr w:type="lastRow">
      <w:pPr>
        <w:spacing w:before="0" w:after="0" w:line="240" w:lineRule="auto"/>
      </w:pPr>
      <w:rPr>
        <w:b/>
        <w:bCs/>
        <w:rFonts w:ascii="Helvetica" w:hAnsi="Helvetica" w:eastAsia="Helvetica" w:cs="Helvetica"/>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4BACC6" w:themeFill="accent5"/>
      </w:tcPr>
    </w:tblStylePr>
    <w:tblStylePr w:type="lastRow">
      <w:pPr>
        <w:spacing w:before="0" w:after="0" w:line="240" w:lineRule="auto"/>
      </w:pPr>
      <w:rPr>
        <w:b/>
        <w:bCs/>
        <w:rFonts w:ascii="Helvetica" w:hAnsi="Helvetica" w:eastAsia="Helvetica" w:cs="Helvetica"/>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Helvetica" w:hAnsi="Helvetica" w:eastAsia="Helvetica" w:cs="Helvetica"/>
      </w:rPr>
      <w:tblPr/>
      <w:tcPr>
        <w:shd w:val="clear" w:color="auto" w:fill="F79646" w:themeFill="accent6"/>
      </w:tcPr>
    </w:tblStylePr>
    <w:tblStylePr w:type="lastRow">
      <w:pPr>
        <w:spacing w:before="0" w:after="0" w:line="240" w:lineRule="auto"/>
      </w:pPr>
      <w:rPr>
        <w:b/>
        <w:bCs/>
        <w:rFonts w:ascii="Helvetica" w:hAnsi="Helvetica" w:eastAsia="Helvetica" w:cs="Helvetica"/>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Helvetica" w:hAnsi="Helvetica" w:eastAsia="Helvetica" w:cs="Helvetic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Helvetica" w:hAnsi="Helvetica" w:eastAsia="Helvetica" w:cs="Helvetic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Helvetica" w:hAnsi="Helvetica" w:eastAsia="Helvetica" w:cs="Helvetic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Helvetica" w:hAnsi="Helvetica" w:eastAsia="Helvetica" w:cs="Helvetic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Helvetica" w:hAnsi="Helvetica" w:eastAsia="Helvetica" w:cs="Helvetic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Helvetica" w:hAnsi="Helvetica" w:eastAsia="Helvetica" w:cs="Helvetic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Helvetica" w:hAnsi="Helvetica" w:eastAsia="Helvetica" w:cs="Helvetic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Helvetica" w:hAnsi="Helvetica" w:eastAsia="Helvetica" w:cs="Helvetic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Helvetica" w:hAnsi="Helvetica" w:eastAsia="Helvetica" w:cs="Helvetic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Helvetica" w:hAnsi="Helvetica" w:eastAsia="Helvetica" w:cs="Helvetic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Helvetica" w:hAnsi="Helvetica" w:eastAsia="Helvetica" w:cs="Helvetic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Helvetica" w:hAnsi="Helvetica" w:eastAsia="Helvetica" w:cs="Helvetic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Helvetica" w:hAnsi="Helvetica" w:eastAsia="Helvetica" w:cs="Helvetic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Helvetica" w:hAnsi="Helvetica" w:eastAsia="Helvetica" w:cs="Helvetic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Helvetica" w:hAnsi="Helvetica" w:eastAsia="Helvetica" w:cs="Helvetica"/>
        <w:b/>
        <w:bCs/>
      </w:rPr>
    </w:tblStylePr>
    <w:tblStylePr w:type="lastCol">
      <w:rPr>
        <w:rFonts w:ascii="Helvetica" w:hAnsi="Helvetica" w:eastAsia="Helvetica" w:cs="Helvetic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Helvetica" w:hAnsi="Helvetica" w:eastAsia="Helvetica" w:cs="Helvetica"/>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Helvetica" w:hAnsi="Helvetica" w:eastAsia="Helvetica" w:cs="Helvetica"/>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Helvetica" w:hAnsi="Helvetica" w:eastAsia="Helvetica" w:cs="Helvetica"/>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Helvetica" w:hAnsi="Helvetica" w:eastAsia="Helvetica" w:cs="Helvetica"/>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Helvetica" w:hAnsi="Helvetica" w:eastAsia="Helvetica" w:cs="Helvetica"/>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Helvetica" w:hAnsi="Helvetica" w:eastAsia="Helvetica" w:cs="Helvetica"/>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Helvetica" w:hAnsi="Helvetica" w:eastAsia="Helvetica" w:cs="Helvetica"/>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Helvetica" w:hAnsi="Helvetica" w:eastAsia="Helvetica" w:cs="Helvetica"/>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Helvetica" w:hAnsi="Helvetica" w:eastAsia="Helvetica" w:cs="Helvetica"/>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Helvetica" w:hAnsi="Helvetica" w:eastAsia="Helvetica" w:cs="Helvetica"/>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Helvetica" w:hAnsi="Helvetica" w:eastAsia="Helvetica" w:cs="Helvetica"/>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Helvetica" w:hAnsi="Helvetica" w:eastAsia="Helvetica" w:cs="Helvetica"/>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000000" w:themeColor="text1"/>
        <w:bottom w:val="single" w:sz="8" w:space="0" w:color="000000" w:themeColor="text1"/>
      </w:tblBorders>
    </w:tblPr>
    <w:tblStylePr w:type="firstRow">
      <w:rPr>
        <w:rFonts w:ascii="Helvetica" w:hAnsi="Helvetica" w:eastAsia="Helvetica" w:cs="Helvetica"/>
      </w:rPr>
      <w:tblPr/>
      <w:tcPr>
        <w:tcBorders>
          <w:top w:val="nil"/>
          <w:bottom w:val="single" w:sz="8" w:space="0" w:color="000000" w:themeColor="text1"/>
        </w:tcBorders>
      </w:tcPr>
    </w:tblStylePr>
    <w:tblStylePr w:type="lastRow">
      <w:rPr>
        <w:b/>
        <w:bCs/>
        <w:color w:val="1F497D" w:themeColor="text2"/>
        <w:rFonts w:ascii="Helvetica" w:hAnsi="Helvetica" w:eastAsia="Helvetica" w:cs="Helvetica"/>
      </w:rPr>
      <w:tblPr/>
      <w:tcPr>
        <w:tcBorders>
          <w:top w:val="single" w:sz="8" w:space="0" w:color="000000" w:themeColor="text1"/>
          <w:bottom w:val="single" w:sz="8" w:space="0" w:color="000000" w:themeColor="text1"/>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4F81BD" w:themeColor="accent1"/>
        <w:bottom w:val="single" w:sz="8" w:space="0" w:color="4F81BD" w:themeColor="accent1"/>
      </w:tblBorders>
    </w:tblPr>
    <w:tblStylePr w:type="firstRow">
      <w:rPr>
        <w:rFonts w:ascii="Helvetica" w:hAnsi="Helvetica" w:eastAsia="Helvetica" w:cs="Helvetica"/>
      </w:rPr>
      <w:tblPr/>
      <w:tcPr>
        <w:tcBorders>
          <w:top w:val="nil"/>
          <w:bottom w:val="single" w:sz="8" w:space="0" w:color="4F81BD" w:themeColor="accent1"/>
        </w:tcBorders>
      </w:tcPr>
    </w:tblStylePr>
    <w:tblStylePr w:type="lastRow">
      <w:rPr>
        <w:b/>
        <w:bCs/>
        <w:color w:val="1F497D" w:themeColor="text2"/>
        <w:rFonts w:ascii="Helvetica" w:hAnsi="Helvetica" w:eastAsia="Helvetica" w:cs="Helvetica"/>
      </w:rPr>
      <w:tblPr/>
      <w:tcPr>
        <w:tcBorders>
          <w:top w:val="single" w:sz="8" w:space="0" w:color="4F81BD" w:themeColor="accent1"/>
          <w:bottom w:val="single" w:sz="8" w:space="0" w:color="4F81BD" w:themeColor="accent1"/>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C0504D" w:themeColor="accent2"/>
        <w:bottom w:val="single" w:sz="8" w:space="0" w:color="C0504D" w:themeColor="accent2"/>
      </w:tblBorders>
    </w:tblPr>
    <w:tblStylePr w:type="firstRow">
      <w:rPr>
        <w:rFonts w:ascii="Helvetica" w:hAnsi="Helvetica" w:eastAsia="Helvetica" w:cs="Helvetica"/>
      </w:rPr>
      <w:tblPr/>
      <w:tcPr>
        <w:tcBorders>
          <w:top w:val="nil"/>
          <w:bottom w:val="single" w:sz="8" w:space="0" w:color="C0504D" w:themeColor="accent2"/>
        </w:tcBorders>
      </w:tcPr>
    </w:tblStylePr>
    <w:tblStylePr w:type="lastRow">
      <w:rPr>
        <w:b/>
        <w:bCs/>
        <w:color w:val="1F497D" w:themeColor="text2"/>
        <w:rFonts w:ascii="Helvetica" w:hAnsi="Helvetica" w:eastAsia="Helvetica" w:cs="Helvetica"/>
      </w:rPr>
      <w:tblPr/>
      <w:tcPr>
        <w:tcBorders>
          <w:top w:val="single" w:sz="8" w:space="0" w:color="C0504D" w:themeColor="accent2"/>
          <w:bottom w:val="single" w:sz="8" w:space="0" w:color="C0504D" w:themeColor="accent2"/>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9BBB59" w:themeColor="accent3"/>
        <w:bottom w:val="single" w:sz="8" w:space="0" w:color="9BBB59" w:themeColor="accent3"/>
      </w:tblBorders>
    </w:tblPr>
    <w:tblStylePr w:type="firstRow">
      <w:rPr>
        <w:rFonts w:ascii="Helvetica" w:hAnsi="Helvetica" w:eastAsia="Helvetica" w:cs="Helvetica"/>
      </w:rPr>
      <w:tblPr/>
      <w:tcPr>
        <w:tcBorders>
          <w:top w:val="nil"/>
          <w:bottom w:val="single" w:sz="8" w:space="0" w:color="9BBB59" w:themeColor="accent3"/>
        </w:tcBorders>
      </w:tcPr>
    </w:tblStylePr>
    <w:tblStylePr w:type="lastRow">
      <w:rPr>
        <w:b/>
        <w:bCs/>
        <w:color w:val="1F497D" w:themeColor="text2"/>
        <w:rFonts w:ascii="Helvetica" w:hAnsi="Helvetica" w:eastAsia="Helvetica" w:cs="Helvetica"/>
      </w:rPr>
      <w:tblPr/>
      <w:tcPr>
        <w:tcBorders>
          <w:top w:val="single" w:sz="8" w:space="0" w:color="9BBB59" w:themeColor="accent3"/>
          <w:bottom w:val="single" w:sz="8" w:space="0" w:color="9BBB59" w:themeColor="accent3"/>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8064A2" w:themeColor="accent4"/>
        <w:bottom w:val="single" w:sz="8" w:space="0" w:color="8064A2" w:themeColor="accent4"/>
      </w:tblBorders>
    </w:tblPr>
    <w:tblStylePr w:type="firstRow">
      <w:rPr>
        <w:rFonts w:ascii="Helvetica" w:hAnsi="Helvetica" w:eastAsia="Helvetica" w:cs="Helvetica"/>
      </w:rPr>
      <w:tblPr/>
      <w:tcPr>
        <w:tcBorders>
          <w:top w:val="nil"/>
          <w:bottom w:val="single" w:sz="8" w:space="0" w:color="8064A2" w:themeColor="accent4"/>
        </w:tcBorders>
      </w:tcPr>
    </w:tblStylePr>
    <w:tblStylePr w:type="lastRow">
      <w:rPr>
        <w:b/>
        <w:bCs/>
        <w:color w:val="1F497D" w:themeColor="text2"/>
        <w:rFonts w:ascii="Helvetica" w:hAnsi="Helvetica" w:eastAsia="Helvetica" w:cs="Helvetica"/>
      </w:rPr>
      <w:tblPr/>
      <w:tcPr>
        <w:tcBorders>
          <w:top w:val="single" w:sz="8" w:space="0" w:color="8064A2" w:themeColor="accent4"/>
          <w:bottom w:val="single" w:sz="8" w:space="0" w:color="8064A2" w:themeColor="accent4"/>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4BACC6" w:themeColor="accent5"/>
        <w:bottom w:val="single" w:sz="8" w:space="0" w:color="4BACC6" w:themeColor="accent5"/>
      </w:tblBorders>
    </w:tblPr>
    <w:tblStylePr w:type="firstRow">
      <w:rPr>
        <w:rFonts w:ascii="Helvetica" w:hAnsi="Helvetica" w:eastAsia="Helvetica" w:cs="Helvetica"/>
      </w:rPr>
      <w:tblPr/>
      <w:tcPr>
        <w:tcBorders>
          <w:top w:val="nil"/>
          <w:bottom w:val="single" w:sz="8" w:space="0" w:color="4BACC6" w:themeColor="accent5"/>
        </w:tcBorders>
      </w:tcPr>
    </w:tblStylePr>
    <w:tblStylePr w:type="lastRow">
      <w:rPr>
        <w:b/>
        <w:bCs/>
        <w:color w:val="1F497D" w:themeColor="text2"/>
        <w:rFonts w:ascii="Helvetica" w:hAnsi="Helvetica" w:eastAsia="Helvetica" w:cs="Helvetica"/>
      </w:rPr>
      <w:tblPr/>
      <w:tcPr>
        <w:tcBorders>
          <w:top w:val="single" w:sz="8" w:space="0" w:color="4BACC6" w:themeColor="accent5"/>
          <w:bottom w:val="single" w:sz="8" w:space="0" w:color="4BACC6" w:themeColor="accent5"/>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Helvetica" w:hAnsi="Helvetica" w:eastAsia="Helvetica" w:cs="Helvetica"/>
    </w:rPr>
    <w:tblPr>
      <w:tblStyleRowBandSize w:val="1"/>
      <w:tblStyleColBandSize w:val="1"/>
      <w:tblBorders>
        <w:top w:val="single" w:sz="8" w:space="0" w:color="F79646" w:themeColor="accent6"/>
        <w:bottom w:val="single" w:sz="8" w:space="0" w:color="F79646" w:themeColor="accent6"/>
      </w:tblBorders>
    </w:tblPr>
    <w:tblStylePr w:type="firstRow">
      <w:rPr>
        <w:rFonts w:ascii="Helvetica" w:hAnsi="Helvetica" w:eastAsia="Helvetica" w:cs="Helvetica"/>
      </w:rPr>
      <w:tblPr/>
      <w:tcPr>
        <w:tcBorders>
          <w:top w:val="nil"/>
          <w:bottom w:val="single" w:sz="8" w:space="0" w:color="F79646" w:themeColor="accent6"/>
        </w:tcBorders>
      </w:tcPr>
    </w:tblStylePr>
    <w:tblStylePr w:type="lastRow">
      <w:rPr>
        <w:b/>
        <w:bCs/>
        <w:color w:val="1F497D" w:themeColor="text2"/>
        <w:rFonts w:ascii="Helvetica" w:hAnsi="Helvetica" w:eastAsia="Helvetica" w:cs="Helvetica"/>
      </w:rPr>
      <w:tblPr/>
      <w:tcPr>
        <w:tcBorders>
          <w:top w:val="single" w:sz="8" w:space="0" w:color="F79646" w:themeColor="accent6"/>
          <w:bottom w:val="single" w:sz="8" w:space="0" w:color="F79646" w:themeColor="accent6"/>
        </w:tcBorders>
      </w:tcPr>
    </w:tblStylePr>
    <w:tblStylePr w:type="firstCol">
      <w:rPr>
        <w:b/>
        <w:bCs/>
        <w:rFonts w:ascii="Helvetica" w:hAnsi="Helvetica" w:eastAsia="Helvetica" w:cs="Helvetica"/>
      </w:rPr>
    </w:tblStylePr>
    <w:tblStylePr w:type="lastCol">
      <w:rPr>
        <w:b/>
        <w:bCs/>
        <w:rFonts w:ascii="Helvetica" w:hAnsi="Helvetica" w:eastAsia="Helvetica" w:cs="Helvetica"/>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Fonts w:ascii="Helvetica" w:hAnsi="Helvetica" w:eastAsia="Helvetica" w:cs="Helvetica"/>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Fonts w:ascii="Helvetica" w:hAnsi="Helvetica" w:eastAsia="Helvetica" w:cs="Helvetica"/>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Fonts w:ascii="Helvetica" w:hAnsi="Helvetica" w:eastAsia="Helvetica" w:cs="Helvetica"/>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Fonts w:ascii="Helvetica" w:hAnsi="Helvetica" w:eastAsia="Helvetica" w:cs="Helvetica"/>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Fonts w:ascii="Helvetica" w:hAnsi="Helvetica" w:eastAsia="Helvetica" w:cs="Helvetica"/>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Fonts w:ascii="Helvetica" w:hAnsi="Helvetica" w:eastAsia="Helvetica" w:cs="Helvetica"/>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404040" w:themeColor="text1"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7BA0CD" w:themeColor="accent1"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CF7B79" w:themeColor="accent2"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B3CC82" w:themeColor="accent3"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9F8AB9" w:themeColor="accent4"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78C0D4" w:themeColor="accent5"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Helvetica" w:hAnsi="Helvetica" w:eastAsia="Helvetica" w:cs="Helvetica"/>
      </w:rPr>
    </w:tblStylePr>
    <w:tblStylePr w:type="lastRow">
      <w:rPr>
        <w:b/>
        <w:bCs/>
        <w:rFonts w:ascii="Helvetica" w:hAnsi="Helvetica" w:eastAsia="Helvetica" w:cs="Helvetica"/>
      </w:rPr>
      <w:tblPr/>
      <w:tcPr>
        <w:tcBorders>
          <w:top w:val="single" w:sz="18" w:space="0" w:color="F9B074" w:themeColor="accent6" w:themeTint="BF"/>
        </w:tcBorders>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Helvetica" w:hAnsi="Helvetica" w:eastAsia="Helvetica" w:cs="Helvetica"/>
      </w:rPr>
      <w:tblPr/>
      <w:tcPr>
        <w:shd w:val="clear" w:color="auto" w:fill="E6E6E6" w:themeFill="text1"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Helvetica" w:hAnsi="Helvetica" w:eastAsia="Helvetica" w:cs="Helvetica"/>
      </w:rPr>
      <w:tblPr/>
      <w:tcPr>
        <w:shd w:val="clear" w:color="auto" w:fill="EDF2F8" w:themeFill="accent1"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Helvetica" w:hAnsi="Helvetica" w:eastAsia="Helvetica" w:cs="Helvetica"/>
      </w:rPr>
      <w:tblPr/>
      <w:tcPr>
        <w:shd w:val="clear" w:color="auto" w:fill="F8EDED" w:themeFill="accent2"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Helvetica" w:hAnsi="Helvetica" w:eastAsia="Helvetica" w:cs="Helvetica"/>
      </w:rPr>
      <w:tblPr/>
      <w:tcPr>
        <w:shd w:val="clear" w:color="auto" w:fill="F5F8EE" w:themeFill="accent3"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Helvetica" w:hAnsi="Helvetica" w:eastAsia="Helvetica" w:cs="Helvetica"/>
      </w:rPr>
      <w:tblPr/>
      <w:tcPr>
        <w:shd w:val="clear" w:color="auto" w:fill="F2EFF6" w:themeFill="accent4"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Helvetica" w:hAnsi="Helvetica" w:eastAsia="Helvetica" w:cs="Helvetica"/>
      </w:rPr>
      <w:tblPr/>
      <w:tcPr>
        <w:shd w:val="clear" w:color="auto" w:fill="EDF6F9" w:themeFill="accent5"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Helvetica" w:hAnsi="Helvetica" w:eastAsia="Helvetica" w:cs="Helvetica"/>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Helvetica" w:hAnsi="Helvetica" w:eastAsia="Helvetica" w:cs="Helvetica"/>
      </w:rPr>
      <w:tblPr/>
      <w:tcPr>
        <w:shd w:val="clear" w:color="auto" w:fill="FEF4EC" w:themeFill="accent6" w:themeFillTint="19"/>
      </w:tcPr>
    </w:tblStylePr>
    <w:tblStylePr w:type="lastRow">
      <w:rPr>
        <w:b/>
        <w:bCs/>
        <w:color w:val="000000" w:themeColor="text1"/>
        <w:rFonts w:ascii="Helvetica" w:hAnsi="Helvetica" w:eastAsia="Helvetica" w:cs="Helvetica"/>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Helvetica" w:hAnsi="Helvetica" w:eastAsia="Helvetica" w:cs="Helvetica"/>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Helvetica" w:hAnsi="Helvetica" w:eastAsia="Helvetica" w:cs="Helvetica"/>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Helvetica" w:hAnsi="Helvetica" w:eastAsia="Helvetica" w:cs="Helvetica"/>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Helvetica" w:hAnsi="Helvetica" w:eastAsia="Helvetica" w:cs="Helvetica"/>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Helvetica" w:hAnsi="Helvetica" w:eastAsia="Helvetica" w:cs="Helvetica"/>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Helvetica" w:hAnsi="Helvetica" w:eastAsia="Helvetica" w:cs="Helvetica"/>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000000" w:themeFill="text1"/>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4F81BD" w:themeFill="accent1"/>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C0504D" w:themeFill="accent2"/>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9BBB59" w:themeFill="accent3"/>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8064A2" w:themeFill="accent4"/>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4BACC6" w:themeFill="accent5"/>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Helvetica" w:hAnsi="Helvetica" w:eastAsia="Helvetica" w:cs="Helvetica"/>
    </w:rPr>
    <w:tblPr>
      <w:tblStyleRowBandSize w:val="1"/>
      <w:tblStyleColBandSize w:val="1"/>
    </w:tblPr>
    <w:tcPr>
      <w:shd w:val="clear" w:color="auto" w:fill="F79646" w:themeFill="accent6"/>
    </w:tcPr>
    <w:tblStylePr w:type="firstRow">
      <w:rPr>
        <w:b/>
        <w:bCs/>
        <w:rFonts w:ascii="Helvetica" w:hAnsi="Helvetica" w:eastAsia="Helvetica" w:cs="Helvetica"/>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1">
    <w:name w:val="Colorful Shading Accent 1"/>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2">
    <w:name w:val="Colorful Shading Accent 2"/>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Helvetica" w:hAnsi="Helvetica" w:eastAsia="Helvetica" w:cs="Helvetica"/>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3">
    <w:name w:val="Colorful Shading Accent 3"/>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Helvetica" w:hAnsi="Helvetica" w:eastAsia="Helvetica" w:cs="Helvetica"/>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Helvetica" w:hAnsi="Helvetica" w:eastAsia="Helvetica" w:cs="Helvetica"/>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5">
    <w:name w:val="Colorful Shading Accent 5"/>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Helvetica" w:hAnsi="Helvetica" w:eastAsia="Helvetica" w:cs="Helvetica"/>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ShadingAccent6">
    <w:name w:val="Colorful Shading Accent 6"/>
    <w:basedOn w:val="TableNormal"/>
    <w:uiPriority w:val="71"/>
    <w:rsid w:val="00CB0664"/>
    <w:pPr>
      <w:spacing w:after="0" w:line="240" w:lineRule="auto"/>
    </w:pPr>
    <w:rPr>
      <w:color w:val="000000" w:themeColor="text1"/>
      <w:rFonts w:ascii="Helvetica" w:hAnsi="Helvetica" w:eastAsia="Helvetica" w:cs="Helvetica"/>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Helvetica" w:hAnsi="Helvetica" w:eastAsia="Helvetica" w:cs="Helvetica"/>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Helvetica" w:hAnsi="Helvetica" w:eastAsia="Helvetica" w:cs="Helvetica"/>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Helvetica" w:hAnsi="Helvetica" w:eastAsia="Helvetica" w:cs="Helvetica"/>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Helvetica" w:hAnsi="Helvetica" w:eastAsia="Helvetica" w:cs="Helvetica"/>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Helvetica" w:hAnsi="Helvetica" w:eastAsia="Helvetica" w:cs="Helvetica"/>
      </w:rPr>
    </w:tblStylePr>
    <w:tblStylePr w:type="nwCell">
      <w:rPr>
        <w:color w:val="000000" w:themeColor="text1"/>
        <w:rFonts w:ascii="Helvetica" w:hAnsi="Helvetica" w:eastAsia="Helvetica" w:cs="Helvetica"/>
      </w:rPr>
    </w:tblStylePr>
  </w:style>
  <w:style w:type="table" w:styleId="ColourfulList">
    <w:name w:val="Colorful List"/>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E6E6E6" w:themeFill="text1"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EDF2F8" w:themeFill="accent1"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8EDED" w:themeFill="accent2"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5F8EE" w:themeFill="accent3"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2EFF6" w:themeFill="accent4"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EDF6F9" w:themeFill="accent5"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Helvetica" w:hAnsi="Helvetica" w:eastAsia="Helvetica" w:cs="Helvetica"/>
    </w:rPr>
    <w:tblPr>
      <w:tblStyleRowBandSize w:val="1"/>
      <w:tblStyleColBandSize w:val="1"/>
    </w:tblPr>
    <w:tcPr>
      <w:shd w:val="clear" w:color="auto" w:fill="FEF4EC" w:themeFill="accent6" w:themeFillTint="19"/>
    </w:tcPr>
    <w:tblStylePr w:type="firstRow">
      <w:rPr>
        <w:b/>
        <w:bCs/>
        <w:color w:val="FFFFFF" w:themeColor="background1"/>
        <w:rFonts w:ascii="Helvetica" w:hAnsi="Helvetica" w:eastAsia="Helvetica" w:cs="Helvetica"/>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Helvetica" w:hAnsi="Helvetica" w:eastAsia="Helvetica" w:cs="Helvetica"/>
      </w:rPr>
      <w:tblPr/>
      <w:tcPr>
        <w:tcBorders>
          <w:top w:val="single" w:sz="12" w:space="0" w:color="000000" w:themeColor="text1"/>
        </w:tcBorders>
        <w:shd w:val="clear" w:color="auto" w:fill="FFFFFF" w:themeFill="background1"/>
      </w:tcPr>
    </w:tblStylePr>
    <w:tblStylePr w:type="firstCol">
      <w:rPr>
        <w:b/>
        <w:bCs/>
        <w:rFonts w:ascii="Helvetica" w:hAnsi="Helvetica" w:eastAsia="Helvetica" w:cs="Helvetica"/>
      </w:rPr>
    </w:tblStylePr>
    <w:tblStylePr w:type="lastCol">
      <w:rPr>
        <w:b/>
        <w:bCs/>
        <w:rFonts w:ascii="Helvetica" w:hAnsi="Helvetica" w:eastAsia="Helvetica" w:cs="Helvetica"/>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Helvetica" w:hAnsi="Helvetica" w:eastAsia="Helvetica" w:cs="Helvetica"/>
      </w:rPr>
      <w:tblPr/>
      <w:tcPr>
        <w:shd w:val="clear" w:color="auto" w:fill="999999" w:themeFill="text1" w:themeFillTint="66"/>
      </w:tcPr>
    </w:tblStylePr>
    <w:tblStylePr w:type="lastRow">
      <w:rPr>
        <w:b/>
        <w:bCs/>
        <w:color w:val="000000" w:themeColor="text1"/>
        <w:rFonts w:ascii="Helvetica" w:hAnsi="Helvetica" w:eastAsia="Helvetica" w:cs="Helvetica"/>
      </w:rPr>
      <w:tblPr/>
      <w:tcPr>
        <w:shd w:val="clear" w:color="auto" w:fill="999999" w:themeFill="text1" w:themeFillTint="66"/>
      </w:tcPr>
    </w:tblStylePr>
    <w:tblStylePr w:type="firstCol">
      <w:rPr>
        <w:color w:val="FFFFFF" w:themeColor="background1"/>
        <w:rFonts w:ascii="Helvetica" w:hAnsi="Helvetica" w:eastAsia="Helvetica" w:cs="Helvetica"/>
      </w:rPr>
      <w:tblPr/>
      <w:tcPr>
        <w:shd w:val="clear" w:color="auto" w:fill="000000" w:themeFill="text1" w:themeFillShade="BF"/>
      </w:tcPr>
    </w:tblStylePr>
    <w:tblStylePr w:type="lastCol">
      <w:rPr>
        <w:color w:val="FFFFFF" w:themeColor="background1"/>
        <w:rFonts w:ascii="Helvetica" w:hAnsi="Helvetica" w:eastAsia="Helvetica" w:cs="Helvetica"/>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Helvetica" w:hAnsi="Helvetica" w:eastAsia="Helvetica" w:cs="Helvetica"/>
      </w:rPr>
      <w:tblPr/>
      <w:tcPr>
        <w:shd w:val="clear" w:color="auto" w:fill="B8CCE4" w:themeFill="accent1" w:themeFillTint="66"/>
      </w:tcPr>
    </w:tblStylePr>
    <w:tblStylePr w:type="lastRow">
      <w:rPr>
        <w:b/>
        <w:bCs/>
        <w:color w:val="000000" w:themeColor="text1"/>
        <w:rFonts w:ascii="Helvetica" w:hAnsi="Helvetica" w:eastAsia="Helvetica" w:cs="Helvetica"/>
      </w:rPr>
      <w:tblPr/>
      <w:tcPr>
        <w:shd w:val="clear" w:color="auto" w:fill="B8CCE4" w:themeFill="accent1" w:themeFillTint="66"/>
      </w:tcPr>
    </w:tblStylePr>
    <w:tblStylePr w:type="firstCol">
      <w:rPr>
        <w:color w:val="FFFFFF" w:themeColor="background1"/>
        <w:rFonts w:ascii="Helvetica" w:hAnsi="Helvetica" w:eastAsia="Helvetica" w:cs="Helvetica"/>
      </w:rPr>
      <w:tblPr/>
      <w:tcPr>
        <w:shd w:val="clear" w:color="auto" w:fill="365F91" w:themeFill="accent1" w:themeFillShade="BF"/>
      </w:tcPr>
    </w:tblStylePr>
    <w:tblStylePr w:type="lastCol">
      <w:rPr>
        <w:color w:val="FFFFFF" w:themeColor="background1"/>
        <w:rFonts w:ascii="Helvetica" w:hAnsi="Helvetica" w:eastAsia="Helvetica" w:cs="Helvetica"/>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Helvetica" w:hAnsi="Helvetica" w:eastAsia="Helvetica" w:cs="Helvetica"/>
      </w:rPr>
      <w:tblPr/>
      <w:tcPr>
        <w:shd w:val="clear" w:color="auto" w:fill="E5B8B7" w:themeFill="accent2" w:themeFillTint="66"/>
      </w:tcPr>
    </w:tblStylePr>
    <w:tblStylePr w:type="lastRow">
      <w:rPr>
        <w:b/>
        <w:bCs/>
        <w:color w:val="000000" w:themeColor="text1"/>
        <w:rFonts w:ascii="Helvetica" w:hAnsi="Helvetica" w:eastAsia="Helvetica" w:cs="Helvetica"/>
      </w:rPr>
      <w:tblPr/>
      <w:tcPr>
        <w:shd w:val="clear" w:color="auto" w:fill="E5B8B7" w:themeFill="accent2" w:themeFillTint="66"/>
      </w:tcPr>
    </w:tblStylePr>
    <w:tblStylePr w:type="firstCol">
      <w:rPr>
        <w:color w:val="FFFFFF" w:themeColor="background1"/>
        <w:rFonts w:ascii="Helvetica" w:hAnsi="Helvetica" w:eastAsia="Helvetica" w:cs="Helvetica"/>
      </w:rPr>
      <w:tblPr/>
      <w:tcPr>
        <w:shd w:val="clear" w:color="auto" w:fill="943634" w:themeFill="accent2" w:themeFillShade="BF"/>
      </w:tcPr>
    </w:tblStylePr>
    <w:tblStylePr w:type="lastCol">
      <w:rPr>
        <w:color w:val="FFFFFF" w:themeColor="background1"/>
        <w:rFonts w:ascii="Helvetica" w:hAnsi="Helvetica" w:eastAsia="Helvetica" w:cs="Helvetica"/>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Helvetica" w:hAnsi="Helvetica" w:eastAsia="Helvetica" w:cs="Helvetica"/>
      </w:rPr>
      <w:tblPr/>
      <w:tcPr>
        <w:shd w:val="clear" w:color="auto" w:fill="D6E3BC" w:themeFill="accent3" w:themeFillTint="66"/>
      </w:tcPr>
    </w:tblStylePr>
    <w:tblStylePr w:type="lastRow">
      <w:rPr>
        <w:b/>
        <w:bCs/>
        <w:color w:val="000000" w:themeColor="text1"/>
        <w:rFonts w:ascii="Helvetica" w:hAnsi="Helvetica" w:eastAsia="Helvetica" w:cs="Helvetica"/>
      </w:rPr>
      <w:tblPr/>
      <w:tcPr>
        <w:shd w:val="clear" w:color="auto" w:fill="D6E3BC" w:themeFill="accent3" w:themeFillTint="66"/>
      </w:tcPr>
    </w:tblStylePr>
    <w:tblStylePr w:type="firstCol">
      <w:rPr>
        <w:color w:val="FFFFFF" w:themeColor="background1"/>
        <w:rFonts w:ascii="Helvetica" w:hAnsi="Helvetica" w:eastAsia="Helvetica" w:cs="Helvetica"/>
      </w:rPr>
      <w:tblPr/>
      <w:tcPr>
        <w:shd w:val="clear" w:color="auto" w:fill="76923C" w:themeFill="accent3" w:themeFillShade="BF"/>
      </w:tcPr>
    </w:tblStylePr>
    <w:tblStylePr w:type="lastCol">
      <w:rPr>
        <w:color w:val="FFFFFF" w:themeColor="background1"/>
        <w:rFonts w:ascii="Helvetica" w:hAnsi="Helvetica" w:eastAsia="Helvetica" w:cs="Helvetica"/>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Helvetica" w:hAnsi="Helvetica" w:eastAsia="Helvetica" w:cs="Helvetica"/>
      </w:rPr>
      <w:tblPr/>
      <w:tcPr>
        <w:shd w:val="clear" w:color="auto" w:fill="CCC0D9" w:themeFill="accent4" w:themeFillTint="66"/>
      </w:tcPr>
    </w:tblStylePr>
    <w:tblStylePr w:type="lastRow">
      <w:rPr>
        <w:b/>
        <w:bCs/>
        <w:color w:val="000000" w:themeColor="text1"/>
        <w:rFonts w:ascii="Helvetica" w:hAnsi="Helvetica" w:eastAsia="Helvetica" w:cs="Helvetica"/>
      </w:rPr>
      <w:tblPr/>
      <w:tcPr>
        <w:shd w:val="clear" w:color="auto" w:fill="CCC0D9" w:themeFill="accent4" w:themeFillTint="66"/>
      </w:tcPr>
    </w:tblStylePr>
    <w:tblStylePr w:type="firstCol">
      <w:rPr>
        <w:color w:val="FFFFFF" w:themeColor="background1"/>
        <w:rFonts w:ascii="Helvetica" w:hAnsi="Helvetica" w:eastAsia="Helvetica" w:cs="Helvetica"/>
      </w:rPr>
      <w:tblPr/>
      <w:tcPr>
        <w:shd w:val="clear" w:color="auto" w:fill="5F497A" w:themeFill="accent4" w:themeFillShade="BF"/>
      </w:tcPr>
    </w:tblStylePr>
    <w:tblStylePr w:type="lastCol">
      <w:rPr>
        <w:color w:val="FFFFFF" w:themeColor="background1"/>
        <w:rFonts w:ascii="Helvetica" w:hAnsi="Helvetica" w:eastAsia="Helvetica" w:cs="Helvetica"/>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Helvetica" w:hAnsi="Helvetica" w:eastAsia="Helvetica" w:cs="Helvetica"/>
      </w:rPr>
      <w:tblPr/>
      <w:tcPr>
        <w:shd w:val="clear" w:color="auto" w:fill="B6DDE8" w:themeFill="accent5" w:themeFillTint="66"/>
      </w:tcPr>
    </w:tblStylePr>
    <w:tblStylePr w:type="lastRow">
      <w:rPr>
        <w:b/>
        <w:bCs/>
        <w:color w:val="000000" w:themeColor="text1"/>
        <w:rFonts w:ascii="Helvetica" w:hAnsi="Helvetica" w:eastAsia="Helvetica" w:cs="Helvetica"/>
      </w:rPr>
      <w:tblPr/>
      <w:tcPr>
        <w:shd w:val="clear" w:color="auto" w:fill="B6DDE8" w:themeFill="accent5" w:themeFillTint="66"/>
      </w:tcPr>
    </w:tblStylePr>
    <w:tblStylePr w:type="firstCol">
      <w:rPr>
        <w:color w:val="FFFFFF" w:themeColor="background1"/>
        <w:rFonts w:ascii="Helvetica" w:hAnsi="Helvetica" w:eastAsia="Helvetica" w:cs="Helvetica"/>
      </w:rPr>
      <w:tblPr/>
      <w:tcPr>
        <w:shd w:val="clear" w:color="auto" w:fill="31849B" w:themeFill="accent5" w:themeFillShade="BF"/>
      </w:tcPr>
    </w:tblStylePr>
    <w:tblStylePr w:type="lastCol">
      <w:rPr>
        <w:color w:val="FFFFFF" w:themeColor="background1"/>
        <w:rFonts w:ascii="Helvetica" w:hAnsi="Helvetica" w:eastAsia="Helvetica" w:cs="Helvetica"/>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Helvetica" w:hAnsi="Helvetica" w:eastAsia="Helvetica" w:cs="Helvetica"/>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Helvetica" w:hAnsi="Helvetica" w:eastAsia="Helvetica" w:cs="Helvetica"/>
      </w:rPr>
      <w:tblPr/>
      <w:tcPr>
        <w:shd w:val="clear" w:color="auto" w:fill="FBD4B4" w:themeFill="accent6" w:themeFillTint="66"/>
      </w:tcPr>
    </w:tblStylePr>
    <w:tblStylePr w:type="lastRow">
      <w:rPr>
        <w:b/>
        <w:bCs/>
        <w:color w:val="000000" w:themeColor="text1"/>
        <w:rFonts w:ascii="Helvetica" w:hAnsi="Helvetica" w:eastAsia="Helvetica" w:cs="Helvetica"/>
      </w:rPr>
      <w:tblPr/>
      <w:tcPr>
        <w:shd w:val="clear" w:color="auto" w:fill="FBD4B4" w:themeFill="accent6" w:themeFillTint="66"/>
      </w:tcPr>
    </w:tblStylePr>
    <w:tblStylePr w:type="firstCol">
      <w:rPr>
        <w:color w:val="FFFFFF" w:themeColor="background1"/>
        <w:rFonts w:ascii="Helvetica" w:hAnsi="Helvetica" w:eastAsia="Helvetica" w:cs="Helvetica"/>
      </w:rPr>
      <w:tblPr/>
      <w:tcPr>
        <w:shd w:val="clear" w:color="auto" w:fill="E36C0A" w:themeFill="accent6" w:themeFillShade="BF"/>
      </w:tcPr>
    </w:tblStylePr>
    <w:tblStylePr w:type="lastCol">
      <w:rPr>
        <w:color w:val="FFFFFF" w:themeColor="background1"/>
        <w:rFonts w:ascii="Helvetica" w:hAnsi="Helvetica" w:eastAsia="Helvetica" w:cs="Helvetica"/>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after="100"/>
    </w:pPr>
    <w:rPr>
      <w:rFonts w:ascii="Helvetica" w:hAnsi="Helvetica" w:eastAsia="Helvetica" w:cs="Helvetica"/>
      <w:color w:val="595959"/>
      <w:sz w:val="20"/>
    </w:rPr>
  </w:style>
  <w:style w:type="paragraph" w:customStyle="1" w:styleId="CaptionText">
    <w:name w:val="Caption Text"/>
    <w:rPr>
      <w:rFonts w:ascii="Helvetica" w:hAnsi="Helvetica" w:eastAsia="Helvetica" w:cs="Helvetica"/>
      <w:color w:val="44444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nedin.govt.nz/services/dunedin-heritage/thematic-study/dunedin-contextual-thematic-history/content/thematic-vol1-theme11-industrialdevelopment.pdf" TargetMode="External"/><Relationship Id="rId13" Type="http://schemas.openxmlformats.org/officeDocument/2006/relationships/hyperlink" Target="https://ngaitahu.iwi.nz/connect-2/connect/media/mana-whenua-bless-site-of-future-acc-building/" TargetMode="External"/><Relationship Id="rId18" Type="http://schemas.openxmlformats.org/officeDocument/2006/relationships/hyperlink" Target="https://marineterrein.nl/living-lab/" TargetMode="External"/><Relationship Id="rId3" Type="http://schemas.openxmlformats.org/officeDocument/2006/relationships/styles" Target="styles.xml"/><Relationship Id="rId21" Type="http://schemas.openxmlformats.org/officeDocument/2006/relationships/hyperlink" Target="https://ir.canterbury.ac.nz/items/8b25e8ea-2778-4557-952a-a470c0e21b1d" TargetMode="External"/><Relationship Id="rId7" Type="http://schemas.openxmlformats.org/officeDocument/2006/relationships/endnotes" Target="endnotes.xml"/><Relationship Id="rId12" Type="http://schemas.openxmlformats.org/officeDocument/2006/relationships/hyperlink" Target="https://www.orc.govt.nz/managing-natural-hazards/reports-and-publications-natural-hazards" TargetMode="External"/><Relationship Id="rId17" Type="http://schemas.openxmlformats.org/officeDocument/2006/relationships/hyperlink" Target="https://www.c40.org/case-studies/barcelona-superblocks/" TargetMode="External"/><Relationship Id="rId2" Type="http://schemas.openxmlformats.org/officeDocument/2006/relationships/numbering" Target="numbering.xml"/><Relationship Id="rId16" Type="http://schemas.openxmlformats.org/officeDocument/2006/relationships/hyperlink" Target="https://www.commonities.org/project/r-urban-commoning-resilience/" TargetMode="External"/><Relationship Id="rId20" Type="http://schemas.openxmlformats.org/officeDocument/2006/relationships/hyperlink" Target="https://www.intechopen.com/chapters/661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c.govt.nz/environment/climate-change/otago-s-future-climat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ust-city.org/engaged-stakeholder/" TargetMode="External"/><Relationship Id="rId23" Type="http://schemas.openxmlformats.org/officeDocument/2006/relationships/fontTable" Target="fontTable.xml"/><Relationship Id="rId10" Type="http://schemas.openxmlformats.org/officeDocument/2006/relationships/hyperlink" Target="https://www.dunedin.govt.nz/council/district-plan/2nd-generation-district-plan/read-the-plan" TargetMode="External"/><Relationship Id="rId19" Type="http://schemas.openxmlformats.org/officeDocument/2006/relationships/hyperlink" Target="https://livs.org.nz/" TargetMode="External"/><Relationship Id="rId4" Type="http://schemas.openxmlformats.org/officeDocument/2006/relationships/settings" Target="settings.xml"/><Relationship Id="rId9" Type="http://schemas.openxmlformats.org/officeDocument/2006/relationships/hyperlink" Target="https://www.odt.co.nz/news/dunedin/greggs-coffee-factory-in-dunedin-to-close-l6mbg753" TargetMode="External"/><Relationship Id="rId14" Type="http://schemas.openxmlformats.org/officeDocument/2006/relationships/hyperlink" Target="https://just-city.org/conceptual-mode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Helvetica"/>
        <a:cs typeface="Helvetica"/>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Helvetica"/>
        <a:ea typeface="Helvetica"/>
        <a:cs typeface="Helvetica"/>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4195</Words>
  <Characters>25679</Characters>
  <Application>Microsoft Office Word</Application>
  <DocSecurity>0</DocSecurity>
  <Lines>570</Lines>
  <Paragraphs>335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Atelier South Summer School 2027</dc:title>
  <dc:subject>Common Ground North Dunedin 2050</dc:subject>
  <dc:creator>Atelier South</dc:creator>
  <cp:keywords>Course materials, architecture, adaptive reuse, 1:50</cp:keywords>
  <dc:description/>
  <cp:lastModifiedBy/>
  <cp:revision>2</cp:revision>
  <dcterms:created xsi:type="dcterms:W3CDTF">2026-10-08T05:33:00Z</dcterms:created>
  <dcterms:modified xsi:type="dcterms:W3CDTF">2026-10-08T05:33:00Z</dcterms:modified>
  <cp:category/>
</cp:coreProperties>
</file>