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Title"/>
      </w:pPr>
      <w:r>
        <w:rPr>
          <w:rFonts w:ascii="Helvetica" w:hAnsi="Helvetica" w:eastAsia="Helvetica" w:cs="Helvetica"/>
        </w:rPr>
        <w:t>Atelier South Summer School 2027</w:t>
      </w:r>
    </w:p>
    <w:p>
      <w:pPr>
        <w:pStyle w:val="Subtitle"/>
      </w:pPr>
      <w:r>
        <w:rPr>
          <w:rFonts w:ascii="Helvetica" w:hAnsi="Helvetica" w:eastAsia="Helvetica" w:cs="Helvetica"/>
        </w:rPr>
        <w:t>Planning student project brief</w:t>
        <w:br/>
        <w:t>Common Ground North Dunedin 2050</w:t>
      </w:r>
    </w:p>
    <w:p>
      <w:r>
        <w:rPr>
          <w:rFonts w:ascii="Helvetica" w:hAnsi="Helvetica" w:eastAsia="Helvetica" w:cs="Helvetica"/>
        </w:rPr>
        <w:t>11 January–5 February 2027 | Online and in Ōtepoti Dunedin</w:t>
      </w:r>
    </w:p>
    <w:p>
      <w:pPr>
        <w:pStyle w:val="Heading1"/>
      </w:pPr>
      <w:r>
        <w:rPr>
          <w:rFonts w:ascii="Helvetica" w:hAnsi="Helvetica" w:eastAsia="Helvetica" w:cs="Helvetica"/>
        </w:rPr>
        <w:t>Your planning project</w:t>
      </w:r>
    </w:p>
    <w:p>
      <w:r>
        <w:rPr>
          <w:rFonts w:ascii="Helvetica" w:hAnsi="Helvetica" w:eastAsia="Helvetica" w:cs="Helvetica"/>
        </w:rPr>
        <w:t>How can the reuse of the former Gregg’s factory support a fair, climate-adaptive network of shared spaces and services across North Dunedin by 2050?</w:t>
      </w:r>
    </w:p>
    <w:p>
      <w:r>
        <w:rPr>
          <w:rFonts w:ascii="Helvetica" w:hAnsi="Helvetica" w:eastAsia="Helvetica" w:cs="Helvetica"/>
        </w:rPr>
        <w:t>Develop a neighbourhood spatial framework and a practical programme for delivering it. Investigate how land use, housing, movement, ecological systems and shared facilities can work together, and how decisions, funding and stewardship would support change. The factory is an anchor within this wider network: its future should be tested against neighbourhood needs, rather than assumed to determine them.</w:t>
      </w:r>
    </w:p>
    <w:p>
      <w:r>
        <w:rPr>
          <w:rFonts w:ascii="Helvetica" w:hAnsi="Helvetica" w:eastAsia="Helvetica" w:cs="Helvetica"/>
        </w:rPr>
        <w:t>As a planning student, you will work at neighbourhood and precinct scales within Common Ground. You share the architecture studio’s site, themes and four-week sequence, while producing a spatial planning framework and implementation programme. Architecture students retain their original adaptive-reuse project and its 1:50 architectural requirements.</w:t>
      </w:r>
    </w:p>
    <w:p>
      <w:pPr>
        <w:pStyle w:val="Heading2"/>
      </w:pPr>
      <w:r>
        <w:rPr>
          <w:rFonts w:ascii="Helvetica" w:hAnsi="Helvetica" w:eastAsia="Helvetica" w:cs="Helvetica"/>
        </w:rPr>
        <w:t>How to use this brief</w:t>
      </w:r>
    </w:p>
    <w:p>
      <w:r>
        <w:rPr>
          <w:rFonts w:ascii="Helvetica" w:hAnsi="Helvetica" w:eastAsia="Helvetica" w:cs="Helvetica"/>
        </w:rPr>
        <w:t>Use this brief to plan your investigation, prepare your submissions and check your work against the planning assessment criteria. Read the shared thematic resources alongside it. Your planning submission is separate from the architecture students’ project; you are not required to produce their 1:50 architectural drawing set.</w:t>
      </w:r>
    </w:p>
    <w:p>
      <w:r>
        <w:rPr>
          <w:rFonts w:ascii="Helvetica" w:hAnsi="Helvetica" w:eastAsia="Helvetica" w:cs="Helvetica"/>
        </w:rPr>
        <w:br w:type="page"/>
      </w:r>
    </w:p>
    <w:p>
      <w:pPr>
        <w:pStyle w:val="Heading1"/>
      </w:pPr>
      <w:r>
        <w:rPr>
          <w:rFonts w:ascii="Helvetica" w:hAnsi="Helvetica" w:eastAsia="Helvetica" w:cs="Helvetica"/>
        </w:rPr>
        <w:t>Work across three scales</w:t>
      </w:r>
    </w:p>
    <w:tbl>
      <w:tblPr>
        <w:tblW w:type="auto" w:w="0"/>
        <w:tblLayout w:type="fixed"/>
        <w:tblLook w:firstColumn="1" w:firstRow="1" w:lastColumn="0" w:lastRow="0" w:noHBand="0" w:noVBand="1" w:val="04A0"/>
      </w:tblPr>
      <w:tblGrid>
        <w:gridCol w:w="2376"/>
        <w:gridCol w:w="2376"/>
        <w:gridCol w:w="4824"/>
      </w:tblGrid>
      <w:tr>
        <w:trPr>
          <w:cantSplit/>
          <w:tblHeader/>
        </w:trPr>
        <w:tc>
          <w:tcPr>
            <w:tcW w:type="dxa" w:w="2376"/>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Scale</w:t>
            </w:r>
          </w:p>
        </w:tc>
        <w:tc>
          <w:tcPr>
            <w:tcW w:type="dxa" w:w="2376"/>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Focus</w:t>
            </w:r>
          </w:p>
        </w:tc>
        <w:tc>
          <w:tcPr>
            <w:tcW w:type="dxa" w:w="4824"/>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Evidence</w:t>
            </w:r>
          </w:p>
        </w:tc>
      </w:tr>
      <w:tr>
        <w:trPr>
          <w:cantSplit/>
        </w:trPr>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City and catchment</w:t>
            </w:r>
            <w:r>
              <w:rPr>
                <w:b w:val="0"/>
                <w:color w:val="000000"/>
                <w:sz w:val="20"/>
                <w:rFonts w:ascii="Helvetica" w:hAnsi="Helvetica" w:eastAsia="Helvetica" w:cs="Helvetica"/>
              </w:rPr>
              <w:br/>
            </w:r>
            <w:r>
              <w:rPr>
                <w:b w:val="0"/>
                <w:color w:val="000000"/>
                <w:sz w:val="20"/>
                <w:rFonts w:ascii="Helvetica" w:hAnsi="Helvetica" w:eastAsia="Helvetica" w:cs="Helvetica"/>
              </w:rPr>
              <w:t>About 1:10,000</w:t>
            </w:r>
          </w:p>
        </w:tc>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Connections beyond the study area</w:t>
            </w:r>
          </w:p>
        </w:tc>
        <w:tc>
          <w:tcPr>
            <w:tcW w:type="dxa" w:w="4824"/>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Situate the neighbourhood within movement, water, ecological and service networks. Trace upstream, downstream and off-site dependencies where supported by evidence.</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Neighbourhood</w:t>
            </w:r>
            <w:r>
              <w:rPr>
                <w:b w:val="0"/>
                <w:color w:val="000000"/>
                <w:sz w:val="20"/>
                <w:rFonts w:ascii="Helvetica" w:hAnsi="Helvetica" w:eastAsia="Helvetica" w:cs="Helvetica"/>
              </w:rPr>
              <w:br/>
            </w:r>
            <w:r>
              <w:rPr>
                <w:b w:val="0"/>
                <w:color w:val="000000"/>
                <w:sz w:val="20"/>
                <w:rFonts w:ascii="Helvetica" w:hAnsi="Helvetica" w:eastAsia="Helvetica" w:cs="Helvetica"/>
              </w:rPr>
              <w:t>About 1:2,000–1:5,000</w:t>
            </w:r>
          </w:p>
        </w:tc>
        <w:tc>
          <w:tcPr>
            <w:tcW w:type="dxa" w:w="2376"/>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A connected framework to 2050</w:t>
            </w:r>
          </w:p>
        </w:tc>
        <w:tc>
          <w:tcPr>
            <w:tcW w:type="dxa" w:w="4824"/>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Define a study area around the factory, initially testing an approximately 800-metre walking-network catchment. Adjust the boundary to actual routes, barriers, communities and available evidence.</w:t>
            </w:r>
          </w:p>
        </w:tc>
      </w:tr>
      <w:tr>
        <w:trPr>
          <w:cantSplit/>
        </w:trPr>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Precinct or corridor</w:t>
            </w:r>
            <w:r>
              <w:rPr>
                <w:b w:val="0"/>
                <w:color w:val="000000"/>
                <w:sz w:val="20"/>
                <w:rFonts w:ascii="Helvetica" w:hAnsi="Helvetica" w:eastAsia="Helvetica" w:cs="Helvetica"/>
              </w:rPr>
              <w:br/>
            </w:r>
            <w:r>
              <w:rPr>
                <w:b w:val="0"/>
                <w:color w:val="000000"/>
                <w:sz w:val="20"/>
                <w:rFonts w:ascii="Helvetica" w:hAnsi="Helvetica" w:eastAsia="Helvetica" w:cs="Helvetica"/>
              </w:rPr>
              <w:t>About 1:500–1:1,000</w:t>
            </w:r>
          </w:p>
        </w:tc>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One implementable priority</w:t>
            </w:r>
          </w:p>
        </w:tc>
        <w:tc>
          <w:tcPr>
            <w:tcW w:type="dxa" w:w="4824"/>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Resolve the factory’s public interface and one connected street, open-space corridor or cluster of shared facilities. Show access, land-use relationships, indicative spatial requirements and delivery responsibilities.</w:t>
            </w:r>
          </w:p>
        </w:tc>
      </w:tr>
    </w:tbl>
    <w:p/>
    <w:p>
      <w:r>
        <w:rPr>
          <w:rFonts w:ascii="Helvetica" w:hAnsi="Helvetica" w:eastAsia="Helvetica" w:cs="Helvetica"/>
        </w:rPr>
        <w:t>These are working scales, to be agreed with tutors. Include scale bars, north points, legends, sources and dates. Planning students submit coordinated maps, policy proposals and an implementation framework; the architectural 1:50 drawing requirement applies to the architecture pathway.</w:t>
      </w:r>
    </w:p>
    <w:p>
      <w:r>
        <w:rPr>
          <w:rFonts w:ascii="Helvetica" w:hAnsi="Helvetica" w:eastAsia="Helvetica" w:cs="Helvetica"/>
        </w:rPr>
        <w:br w:type="page"/>
      </w:r>
    </w:p>
    <w:p>
      <w:pPr>
        <w:pStyle w:val="Heading1"/>
      </w:pPr>
      <w:r>
        <w:rPr>
          <w:rFonts w:ascii="Helvetica" w:hAnsi="Helvetica" w:eastAsia="Helvetica" w:cs="Helvetica"/>
        </w:rPr>
        <w:t>Shared objectives for planning students</w:t>
      </w:r>
    </w:p>
    <w:p>
      <w:pPr>
        <w:pStyle w:val="Heading2"/>
      </w:pPr>
      <w:r>
        <w:rPr>
          <w:rFonts w:ascii="Helvetica" w:hAnsi="Helvetica" w:eastAsia="Helvetica" w:cs="Helvetica"/>
        </w:rPr>
        <w:t>Urban commoning</w:t>
      </w:r>
    </w:p>
    <w:p>
      <w:r>
        <w:rPr>
          <w:rFonts w:ascii="Helvetica" w:hAnsi="Helvetica" w:eastAsia="Helvetica" w:cs="Helvetica"/>
        </w:rPr>
        <w:t>Identify a network of resources that could be shared: land, public space, facilities, skills and services. Select one resource and explain access, tenure assumptions, decision-making, funding, maintenance and conflict resolution. Test how it could remain useful outside the academic year and connect the factory precinct to the wider neighbourhood.</w:t>
      </w:r>
    </w:p>
    <w:p>
      <w:pPr>
        <w:pStyle w:val="Heading2"/>
      </w:pPr>
      <w:r>
        <w:rPr>
          <w:rFonts w:ascii="Helvetica" w:hAnsi="Helvetica" w:eastAsia="Helvetica" w:cs="Helvetica"/>
        </w:rPr>
        <w:t>Climate adaptation and resilience</w:t>
      </w:r>
    </w:p>
    <w:p>
      <w:r>
        <w:rPr>
          <w:rFonts w:ascii="Helvetica" w:hAnsi="Helvetica" w:eastAsia="Helvetica" w:cs="Helvetica"/>
        </w:rPr>
        <w:t>Use a present-day baseline and at least two justified future conditions to test the framework. Screen rainfall and flooding, heat, water availability, wind and infrastructure disruption, then select two locally relevant issues for deeper analysis. Consider coastal or groundwater effects only where site-specific evidence supports their relevance. Do not transfer South Dunedin’s hazard assumptions to North Dunedin.</w:t>
      </w:r>
    </w:p>
    <w:p>
      <w:r>
        <w:rPr>
          <w:rFonts w:ascii="Helvetica" w:hAnsi="Helvetica" w:eastAsia="Helvetica" w:cs="Helvetica"/>
        </w:rPr>
        <w:t>For each test, identify exposure, affected people and ecology, a proposed response, residual risk and a trigger for further action. Show the planning decision changed by the test. Distinguish adaptation from emissions reduction: reuse and lower-carbon travel may support the proposal, but do not on their own demonstrate resilience.</w:t>
      </w:r>
    </w:p>
    <w:p>
      <w:pPr>
        <w:pStyle w:val="Heading2"/>
      </w:pPr>
      <w:r>
        <w:rPr>
          <w:rFonts w:ascii="Helvetica" w:hAnsi="Helvetica" w:eastAsia="Helvetica" w:cs="Helvetica"/>
        </w:rPr>
        <w:t>Just transitions</w:t>
      </w:r>
    </w:p>
    <w:p>
      <w:r>
        <w:rPr>
          <w:rFonts w:ascii="Helvetica" w:hAnsi="Helvetica" w:eastAsia="Helvetica" w:cs="Helvetica"/>
        </w:rPr>
        <w:t>Examine housing choice, affordability, accessibility, livelihoods and continuity of community life. Investigate studentification through evidence rather than treating students as a problem to remove. Assess three dimensions of spatial justice: the distribution of benefits and burdens, participation in decisions, and recognition of different needs, identities and knowledge. Set at least three measurable commitments and show how the proposal addresses a conflict between them.</w:t>
      </w:r>
    </w:p>
    <w:p>
      <w:r>
        <w:rPr>
          <w:rFonts w:ascii="Helvetica" w:hAnsi="Helvetica" w:eastAsia="Helvetica" w:cs="Helvetica"/>
        </w:rPr>
        <w:t xml:space="preserve">Use the </w:t>
      </w:r>
      <w:hyperlink r:id="rId14">
        <w:r>
          <w:rPr>
            <w:u w:val="single"/>
            <w:rFonts w:ascii="Helvetica" w:hAnsi="Helvetica" w:eastAsia="Helvetica" w:cs="Helvetica"/>
          </w:rPr>
          <w:t>Centre for the Just City’s Spatial Justice Conceptual Model</w:t>
        </w:r>
      </w:hyperlink>
      <w:r>
        <w:rPr>
          <w:rFonts w:ascii="Helvetica" w:hAnsi="Helvetica" w:eastAsia="Helvetica" w:cs="Helvetica"/>
        </w:rPr>
        <w:t xml:space="preserve"> as an analytical lens. Apply it critically to the local context alongside mana whenua relationships and knowledge; it does not replace them.</w:t>
      </w:r>
    </w:p>
    <w:p>
      <w:r>
        <w:rPr>
          <w:rFonts w:ascii="Helvetica" w:hAnsi="Helvetica" w:eastAsia="Helvetica" w:cs="Helvetica"/>
        </w:rPr>
        <w:br w:type="page"/>
      </w:r>
    </w:p>
    <w:p>
      <w:pPr>
        <w:pStyle w:val="Heading1"/>
      </w:pPr>
      <w:r>
        <w:rPr>
          <w:rFonts w:ascii="Helvetica" w:hAnsi="Helvetica" w:eastAsia="Helvetica" w:cs="Helvetica"/>
        </w:rPr>
        <w:t>From evidence to a delivery programme</w:t>
      </w:r>
    </w:p>
    <w:p>
      <w:pPr>
        <w:pStyle w:val="Heading2"/>
      </w:pPr>
      <w:r>
        <w:rPr>
          <w:rFonts w:ascii="Helvetica" w:hAnsi="Helvetica" w:eastAsia="Helvetica" w:cs="Helvetica"/>
        </w:rPr>
        <w:t>Establish a defensible baseline</w:t>
      </w:r>
    </w:p>
    <w:p>
      <w:r>
        <w:rPr>
          <w:rFonts w:ascii="Helvetica" w:hAnsi="Helvetica" w:eastAsia="Helvetica" w:cs="Helvetica"/>
        </w:rPr>
        <w:t>Map land uses, housing and tenure evidence, shared facilities, walking and cycling connections, public-space access, ecological assets and relevant hazards. Review applicable planning provisions and infrastructure information. Record the source, date, spatial coverage and limitations of each dataset; distinguish observation, verified information and assumptions.</w:t>
      </w:r>
    </w:p>
    <w:p>
      <w:pPr>
        <w:pStyle w:val="Heading2"/>
      </w:pPr>
      <w:r>
        <w:rPr>
          <w:rFonts w:ascii="Helvetica" w:hAnsi="Helvetica" w:eastAsia="Helvetica" w:cs="Helvetica"/>
        </w:rPr>
        <w:t>Compare three materially different futures</w:t>
      </w:r>
    </w:p>
    <w:p>
      <w:r>
        <w:rPr>
          <w:rFonts w:ascii="Helvetica" w:hAnsi="Helvetica" w:eastAsia="Helvetica" w:cs="Helvetica"/>
        </w:rPr>
        <w:t>Develop alternatives that differ in their distribution of activity, governance or sequence of investment, rather than only their appearance. Possible starting points are a factory-led shared-services hub, a distributed network of smaller facilities, and a corridor-led adaptation strategy. These are hypotheses to test, not predetermined answers. Compare each with a documented continuation baseline using the same criteria.</w:t>
      </w:r>
    </w:p>
    <w:p>
      <w:pPr>
        <w:pStyle w:val="Heading2"/>
      </w:pPr>
      <w:r>
        <w:rPr>
          <w:rFonts w:ascii="Helvetica" w:hAnsi="Helvetica" w:eastAsia="Helvetica" w:cs="Helvetica"/>
        </w:rPr>
        <w:t>Make a preferred spatial framework</w:t>
      </w:r>
    </w:p>
    <w:p>
      <w:r>
        <w:rPr>
          <w:rFonts w:ascii="Helvetica" w:hAnsi="Helvetica" w:eastAsia="Helvetica" w:cs="Helvetica"/>
        </w:rPr>
        <w:t>Select and justify a preferred option. Coordinate land use, movement, shared resources and ecological relationships in a neighbourhood plan. Resolve one priority precinct or corridor and issue a short planning brief for the factory’s adaptive reuse: intended users, public connections, spatial requirements, constraints and conditions for success.</w:t>
      </w:r>
    </w:p>
    <w:p>
      <w:pPr>
        <w:pStyle w:val="Heading2"/>
      </w:pPr>
      <w:r>
        <w:rPr>
          <w:rFonts w:ascii="Helvetica" w:hAnsi="Helvetica" w:eastAsia="Helvetica" w:cs="Helvetica"/>
        </w:rPr>
        <w:t>Explain how it could happen</w:t>
      </w:r>
    </w:p>
    <w:p>
      <w:r>
        <w:rPr>
          <w:rFonts w:ascii="Helvetica" w:hAnsi="Helvetica" w:eastAsia="Helvetica" w:cs="Helvetica"/>
        </w:rPr>
        <w:t>Set out actions for 2027–2030, 2031–2040 and 2041–2050, with sequencing adjusted to evidence and adaptation triggers. Identify potential lead and supporting organisations, land or access agreements, infrastructure dependencies, possible funding mechanisms, indicative cost bands and maintenance obligations. Mark unconfirmed partners and funding explicitly. Separate actions possible under verified current provisions from proposed policy changes requiring further investigation.</w:t>
      </w:r>
    </w:p>
    <w:p>
      <w:pPr>
        <w:pStyle w:val="Heading2"/>
      </w:pPr>
      <w:r>
        <w:rPr>
          <w:rFonts w:ascii="Helvetica" w:hAnsi="Helvetica" w:eastAsia="Helvetica" w:cs="Helvetica"/>
        </w:rPr>
        <w:t>Test who benefits and who decides</w:t>
      </w:r>
    </w:p>
    <w:p>
      <w:r>
        <w:rPr>
          <w:rFonts w:ascii="Helvetica" w:hAnsi="Helvetica" w:eastAsia="Helvetica" w:cs="Helvetica"/>
        </w:rPr>
        <w:t>Evaluate affordability, displacement risk, access and the distribution of costs across the alternatives. Show how people affected by decisions could influence them, including those with limited time, mobility or institutional access. Mana whenua are rights holders; engagement follows teaching-team relationships and protocols. Do not claim consultation or endorsement that has not occurred.</w:t>
      </w:r>
    </w:p>
    <w:p>
      <w:r>
        <w:rPr>
          <w:rFonts w:ascii="Helvetica" w:hAnsi="Helvetica" w:eastAsia="Helvetica" w:cs="Helvetica"/>
        </w:rPr>
        <w:br w:type="page"/>
      </w:r>
    </w:p>
    <w:p>
      <w:pPr>
        <w:pStyle w:val="Heading1"/>
      </w:pPr>
      <w:r>
        <w:rPr>
          <w:rFonts w:ascii="Helvetica" w:hAnsi="Helvetica" w:eastAsia="Helvetica" w:cs="Helvetica"/>
        </w:rPr>
        <w:t>What you will submit</w:t>
      </w:r>
    </w:p>
    <w:p>
      <w:r>
        <w:rPr>
          <w:rFonts w:ascii="Helvetica" w:hAnsi="Helvetica" w:eastAsia="Helvetica" w:cs="Helvetica"/>
        </w:rPr>
        <w:t>Proposed groups of 3–4 produce one 20–28-page A3 landscape planning portfolio and a shared presentation. Coordinate the following evidence as one argument:</w:t>
      </w:r>
    </w:p>
    <w:p>
      <w:pPr>
        <w:pStyle w:val="ListBullet"/>
      </w:pPr>
      <w:r>
        <w:rPr>
          <w:b/>
          <w:rFonts w:ascii="Helvetica" w:hAnsi="Helvetica" w:eastAsia="Helvetica" w:cs="Helvetica"/>
        </w:rPr>
        <w:t>P1 — Baseline atlas.</w:t>
      </w:r>
      <w:r>
        <w:rPr>
          <w:rFonts w:ascii="Helvetica" w:hAnsi="Helvetica" w:eastAsia="Helvetica" w:cs="Helvetica"/>
        </w:rPr>
        <w:t xml:space="preserve"> A defined study boundary, source register, key opportunities and constraints, and two critically analysed precedents, including one from Aotearoa.</w:t>
      </w:r>
    </w:p>
    <w:p>
      <w:pPr>
        <w:pStyle w:val="ListBullet"/>
      </w:pPr>
      <w:r>
        <w:rPr>
          <w:b/>
          <w:rFonts w:ascii="Helvetica" w:hAnsi="Helvetica" w:eastAsia="Helvetica" w:cs="Helvetica"/>
        </w:rPr>
        <w:t>P2 — Alternatives and evaluation.</w:t>
      </w:r>
      <w:r>
        <w:rPr>
          <w:rFonts w:ascii="Helvetica" w:hAnsi="Helvetica" w:eastAsia="Helvetica" w:cs="Helvetica"/>
        </w:rPr>
        <w:t xml:space="preserve"> Three spatial scenarios plus a continuation baseline, a transparent comparison matrix and a justified choice. Record trade-offs and sensitivity to uncertain assumptions.</w:t>
      </w:r>
    </w:p>
    <w:p>
      <w:pPr>
        <w:pStyle w:val="ListBullet"/>
      </w:pPr>
      <w:r>
        <w:rPr>
          <w:b/>
          <w:rFonts w:ascii="Helvetica" w:hAnsi="Helvetica" w:eastAsia="Helvetica" w:cs="Helvetica"/>
        </w:rPr>
        <w:t>P3 — Neighbourhood framework.</w:t>
      </w:r>
      <w:r>
        <w:rPr>
          <w:rFonts w:ascii="Helvetica" w:hAnsi="Helvetica" w:eastAsia="Helvetica" w:cs="Helvetica"/>
        </w:rPr>
        <w:t xml:space="preserve"> A coordinated plan to 2050, supported by thematic maps and an explanation of relationships to the city and catchment.</w:t>
      </w:r>
    </w:p>
    <w:p>
      <w:pPr>
        <w:pStyle w:val="ListBullet"/>
      </w:pPr>
      <w:r>
        <w:rPr>
          <w:b/>
          <w:rFonts w:ascii="Helvetica" w:hAnsi="Helvetica" w:eastAsia="Helvetica" w:cs="Helvetica"/>
        </w:rPr>
        <w:t>P4 — Priority implementation area.</w:t>
      </w:r>
      <w:r>
        <w:rPr>
          <w:rFonts w:ascii="Helvetica" w:hAnsi="Helvetica" w:eastAsia="Helvetica" w:cs="Helvetica"/>
        </w:rPr>
        <w:t xml:space="preserve"> A precinct or corridor plan, suitable sections or movement diagrams, and a factory planning brief. Explain access, capacity assumptions and interfaces with adjacent uses.</w:t>
      </w:r>
    </w:p>
    <w:p>
      <w:pPr>
        <w:pStyle w:val="ListBullet"/>
      </w:pPr>
      <w:r>
        <w:rPr>
          <w:b/>
          <w:rFonts w:ascii="Helvetica" w:hAnsi="Helvetica" w:eastAsia="Helvetica" w:cs="Helvetica"/>
        </w:rPr>
        <w:t>P5 — Climate and justice tests.</w:t>
      </w:r>
      <w:r>
        <w:rPr>
          <w:rFonts w:ascii="Helvetica" w:hAnsi="Helvetica" w:eastAsia="Helvetica" w:cs="Helvetica"/>
        </w:rPr>
        <w:t xml:space="preserve"> Two climate tests; at least three justice commitments; and evidence tracing one commoning resource across the precinct, neighbourhood and wider network.</w:t>
      </w:r>
    </w:p>
    <w:p>
      <w:pPr>
        <w:pStyle w:val="ListBullet"/>
      </w:pPr>
      <w:r>
        <w:rPr>
          <w:b/>
          <w:rFonts w:ascii="Helvetica" w:hAnsi="Helvetica" w:eastAsia="Helvetica" w:cs="Helvetica"/>
        </w:rPr>
        <w:t>P6 — Delivery and monitoring.</w:t>
      </w:r>
      <w:r>
        <w:rPr>
          <w:rFonts w:ascii="Helvetica" w:hAnsi="Helvetica" w:eastAsia="Helvetica" w:cs="Helvetica"/>
        </w:rPr>
        <w:t xml:space="preserve"> An action schedule identifying responsibility, timing, dependencies, potential funding, maintenance and risks. Include at least five indicators with a baseline or baseline-data requirement, proposed target, review interval and decision trigger.</w:t>
      </w:r>
    </w:p>
    <w:p>
      <w:r>
        <w:rPr>
          <w:rFonts w:ascii="Helvetica" w:hAnsi="Helvetica" w:eastAsia="Helvetica" w:cs="Helvetica"/>
        </w:rPr>
        <w:t>Each student submits an 800–1,000-word critical reflection and a contribution record identifying their authored maps, analysis or implementation work. Evaluate two planning decisions and one unresolved tension, including how exchanges with architecture students changed the proposal. Every member presents and answers an individual question.</w:t>
      </w:r>
    </w:p>
    <w:p>
      <w:r>
        <w:rPr>
          <w:rFonts w:ascii="Helvetica" w:hAnsi="Helvetica" w:eastAsia="Helvetica" w:cs="Helvetica"/>
        </w:rPr>
        <w:t>A satisfactory proposal makes a clear, evidence-based connection between its maps, policy choices and delivery programme. Missing information is a recorded research need, not permission to invent a baseline, public preference, cost or performance result.</w:t>
      </w:r>
    </w:p>
    <w:p>
      <w:r>
        <w:rPr>
          <w:rFonts w:ascii="Helvetica" w:hAnsi="Helvetica" w:eastAsia="Helvetica" w:cs="Helvetica"/>
        </w:rPr>
        <w:br w:type="page"/>
      </w:r>
    </w:p>
    <w:p>
      <w:pPr>
        <w:pStyle w:val="Heading1"/>
      </w:pPr>
      <w:r>
        <w:rPr>
          <w:rFonts w:ascii="Helvetica" w:hAnsi="Helvetica" w:eastAsia="Helvetica" w:cs="Helvetica"/>
        </w:rPr>
        <w:t>The four-week planning sequence</w:t>
      </w:r>
    </w:p>
    <w:tbl>
      <w:tblPr>
        <w:tblW w:type="auto" w:w="0"/>
        <w:tblLayout w:type="fixed"/>
        <w:tblLook w:firstColumn="1" w:firstRow="1" w:lastColumn="0" w:lastRow="0" w:noHBand="0" w:noVBand="1" w:val="04A0"/>
      </w:tblPr>
      <w:tblGrid>
        <w:gridCol w:w="2376"/>
        <w:gridCol w:w="2376"/>
        <w:gridCol w:w="4824"/>
      </w:tblGrid>
      <w:tr>
        <w:trPr>
          <w:cantSplit/>
          <w:tblHeader/>
        </w:trPr>
        <w:tc>
          <w:tcPr>
            <w:tcW w:type="dxa" w:w="2376"/>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Week</w:t>
            </w:r>
          </w:p>
        </w:tc>
        <w:tc>
          <w:tcPr>
            <w:tcW w:type="dxa" w:w="2376"/>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Work</w:t>
            </w:r>
          </w:p>
        </w:tc>
        <w:tc>
          <w:tcPr>
            <w:tcW w:type="dxa" w:w="4824"/>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Checkpoint</w:t>
            </w:r>
          </w:p>
        </w:tc>
      </w:tr>
      <w:tr>
        <w:trPr>
          <w:cantSplit/>
        </w:trPr>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11–15 January</w:t>
            </w:r>
            <w:r>
              <w:rPr>
                <w:b w:val="0"/>
                <w:color w:val="000000"/>
                <w:sz w:val="20"/>
                <w:rFonts w:ascii="Helvetica" w:hAnsi="Helvetica" w:eastAsia="Helvetica" w:cs="Helvetica"/>
              </w:rPr>
              <w:br/>
            </w:r>
            <w:r>
              <w:rPr>
                <w:b w:val="0"/>
                <w:color w:val="000000"/>
                <w:sz w:val="20"/>
                <w:rFonts w:ascii="Helvetica" w:hAnsi="Helvetica" w:eastAsia="Helvetica" w:cs="Helvetica"/>
              </w:rPr>
              <w:t>Online</w:t>
            </w:r>
          </w:p>
        </w:tc>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Shared thematic workshops; study boundary; evidence and policy review; stakeholder and rights-holder mapping; climate test design.</w:t>
            </w:r>
          </w:p>
        </w:tc>
        <w:tc>
          <w:tcPr>
            <w:tcW w:type="dxa" w:w="4824"/>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Planning question, baseline atlas draft, group agreement and investigation plan.</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18–22 January</w:t>
            </w:r>
            <w:r>
              <w:rPr>
                <w:b w:val="0"/>
                <w:color w:val="000000"/>
                <w:sz w:val="20"/>
                <w:rFonts w:ascii="Helvetica" w:hAnsi="Helvetica" w:eastAsia="Helvetica" w:cs="Helvetica"/>
              </w:rPr>
              <w:br/>
            </w:r>
            <w:r>
              <w:rPr>
                <w:b w:val="0"/>
                <w:color w:val="000000"/>
                <w:sz w:val="20"/>
                <w:rFonts w:ascii="Helvetica" w:hAnsi="Helvetica" w:eastAsia="Helvetica" w:cs="Helvetica"/>
              </w:rPr>
              <w:t>Dunedin</w:t>
            </w:r>
          </w:p>
        </w:tc>
        <w:tc>
          <w:tcPr>
            <w:tcW w:type="dxa" w:w="2376"/>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Authorised observation; accessible-route and public-space audits; three scenarios; comparison with the baseline; joint architecture review.</w:t>
            </w:r>
          </w:p>
        </w:tc>
        <w:tc>
          <w:tcPr>
            <w:tcW w:type="dxa" w:w="4824"/>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Preferred neighbourhood option, priority area and an agreed factory planning brief.</w:t>
            </w:r>
          </w:p>
        </w:tc>
      </w:tr>
      <w:tr>
        <w:trPr>
          <w:cantSplit/>
        </w:trPr>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25–29 January</w:t>
            </w:r>
            <w:r>
              <w:rPr>
                <w:b w:val="0"/>
                <w:color w:val="000000"/>
                <w:sz w:val="20"/>
                <w:rFonts w:ascii="Helvetica" w:hAnsi="Helvetica" w:eastAsia="Helvetica" w:cs="Helvetica"/>
              </w:rPr>
              <w:br/>
            </w:r>
            <w:r>
              <w:rPr>
                <w:b w:val="0"/>
                <w:color w:val="000000"/>
                <w:sz w:val="20"/>
                <w:rFonts w:ascii="Helvetica" w:hAnsi="Helvetica" w:eastAsia="Helvetica" w:cs="Helvetica"/>
              </w:rPr>
              <w:t>Dunedin</w:t>
            </w:r>
          </w:p>
        </w:tc>
        <w:tc>
          <w:tcPr>
            <w:tcW w:type="dxa" w:w="2376"/>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Spatial framework, climate and justice testing, governance, policy options, phasing and delivery workshop.</w:t>
            </w:r>
          </w:p>
        </w:tc>
        <w:tc>
          <w:tcPr>
            <w:tcW w:type="dxa" w:w="4824"/>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P1–P6 review and coordinated exchange with the architectural proposal.</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1–5 February</w:t>
            </w:r>
            <w:r>
              <w:rPr>
                <w:b w:val="0"/>
                <w:color w:val="000000"/>
                <w:sz w:val="20"/>
                <w:rFonts w:ascii="Helvetica" w:hAnsi="Helvetica" w:eastAsia="Helvetica" w:cs="Helvetica"/>
              </w:rPr>
              <w:br/>
            </w:r>
            <w:r>
              <w:rPr>
                <w:b w:val="0"/>
                <w:color w:val="000000"/>
                <w:sz w:val="20"/>
                <w:rFonts w:ascii="Helvetica" w:hAnsi="Helvetica" w:eastAsia="Helvetica" w:cs="Helvetica"/>
              </w:rPr>
              <w:t>Online</w:t>
            </w:r>
          </w:p>
        </w:tc>
        <w:tc>
          <w:tcPr>
            <w:tcW w:type="dxa" w:w="2376"/>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Resolve evidence gaps; complete portfolio; rehearse; present and reflect.</w:t>
            </w:r>
          </w:p>
        </w:tc>
        <w:tc>
          <w:tcPr>
            <w:tcW w:type="dxa" w:w="4824"/>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Final online presentation on Friday 5 February. Submission times and panel slots will be confirmed by the teaching team.</w:t>
            </w:r>
          </w:p>
        </w:tc>
      </w:tr>
    </w:tbl>
    <w:p/>
    <w:p>
      <w:r>
        <w:rPr>
          <w:rFonts w:ascii="Helvetica" w:hAnsi="Helvetica" w:eastAsia="Helvetica" w:cs="Helvetica"/>
        </w:rPr>
        <w:t>Planning students share the core workshops and reviews, with discipline-specific studios during architectural development sessions. Site access and any engagement require prior arrangements through the teaching team. Where access is unavailable, work from public viewpoints and documented evidence, stating the limits.</w:t>
      </w:r>
    </w:p>
    <w:p>
      <w:pPr>
        <w:pStyle w:val="Heading1"/>
      </w:pPr>
      <w:r>
        <w:rPr>
          <w:rFonts w:ascii="Helvetica" w:hAnsi="Helvetica" w:eastAsia="Helvetica" w:cs="Helvetica"/>
        </w:rPr>
        <w:t>Working with the architecture pathway</w:t>
      </w:r>
    </w:p>
    <w:p>
      <w:r>
        <w:rPr>
          <w:rFonts w:ascii="Helvetica" w:hAnsi="Helvetica" w:eastAsia="Helvetica" w:cs="Helvetica"/>
        </w:rPr>
        <w:t>Both pathways use a shared evidence register and agree their principal assumptions. By the end of week 2, planning students provide the neighbourhood framework and factory planning brief; architecture students test those requirements against the building and its spatial possibilities. In week 3, teams exchange findings on access, use, capacity, climate response and stewardship, then record how each proposal changes.</w:t>
      </w:r>
    </w:p>
    <w:p>
      <w:r>
        <w:rPr>
          <w:rFonts w:ascii="Helvetica" w:hAnsi="Helvetica" w:eastAsia="Helvetica" w:cs="Helvetica"/>
        </w:rPr>
        <w:t>Each pathway retains its own assessable output and named responsibilities. If a matched architecture team is unavailable, the planning group tests an explicit adaptive-reuse scenario with tutors, without inventing building capacities or presenting assumptions as verified feasibility.</w:t>
      </w:r>
    </w:p>
    <w:p>
      <w:r>
        <w:rPr>
          <w:rFonts w:ascii="Helvetica" w:hAnsi="Helvetica" w:eastAsia="Helvetica" w:cs="Helvetica"/>
        </w:rPr>
        <w:br w:type="page"/>
      </w:r>
    </w:p>
    <w:p>
      <w:pPr>
        <w:pStyle w:val="Heading1"/>
      </w:pPr>
      <w:r>
        <w:rPr>
          <w:rFonts w:ascii="Helvetica" w:hAnsi="Helvetica" w:eastAsia="Helvetica" w:cs="Helvetica"/>
        </w:rPr>
        <w:t>Planning assessment</w:t>
      </w:r>
    </w:p>
    <w:p>
      <w:r>
        <w:rPr>
          <w:rFonts w:ascii="Helvetica" w:hAnsi="Helvetica" w:eastAsia="Helvetica" w:cs="Helvetica"/>
        </w:rPr>
        <w:t>Your assessment comprises 70% shared group work and 30% individual contribution. The six criteria below assess your planning framework, its implementation and your personal reasoning. C1 assesses developed spatial planning and implementation. The teaching team will confirm credit arrangements and applicable assessment rules before teaching begins.</w:t>
      </w:r>
    </w:p>
    <w:tbl>
      <w:tblPr>
        <w:tblW w:type="auto" w:w="0"/>
        <w:tblLayout w:type="fixed"/>
        <w:tblLook w:firstColumn="1" w:firstRow="1" w:lastColumn="0" w:lastRow="0" w:noHBand="0" w:noVBand="1" w:val="04A0"/>
      </w:tblPr>
      <w:tblGrid>
        <w:gridCol w:w="5760"/>
        <w:gridCol w:w="1267"/>
        <w:gridCol w:w="1267"/>
        <w:gridCol w:w="1282"/>
      </w:tblGrid>
      <w:tr>
        <w:trPr>
          <w:cantSplit/>
          <w:tblHeader/>
        </w:trPr>
        <w:tc>
          <w:tcPr>
            <w:tcW w:type="dxa" w:w="5760"/>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Criterion</w:t>
            </w:r>
          </w:p>
        </w:tc>
        <w:tc>
          <w:tcPr>
            <w:tcW w:type="dxa" w:w="1267"/>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Group</w:t>
            </w:r>
          </w:p>
        </w:tc>
        <w:tc>
          <w:tcPr>
            <w:tcW w:type="dxa" w:w="1267"/>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Individual</w:t>
            </w:r>
          </w:p>
        </w:tc>
        <w:tc>
          <w:tcPr>
            <w:tcW w:type="dxa" w:w="1282"/>
            <w:shd w:fill="333333"/>
            <w:tcBorders>
              <w:top w:val="single" w:sz="4" w:color="D9D9D9"/>
              <w:left w:val="single" w:sz="4" w:color="D9D9D9"/>
              <w:bottom w:val="single" w:sz="4" w:color="D9D9D9"/>
              <w:right w:val="single" w:sz="4" w:color="D9D9D9"/>
            </w:tcBorders>
          </w:tcPr>
          <w:p>
            <w:pPr>
              <w:spacing w:after="80" w:before="80"/>
            </w:pPr>
            <w:r>
              <w:rPr>
                <w:b/>
                <w:color w:val="FFFFFF"/>
                <w:sz w:val="20"/>
                <w:rFonts w:ascii="Helvetica" w:hAnsi="Helvetica" w:eastAsia="Helvetica" w:cs="Helvetica"/>
              </w:rPr>
              <w:t>Total</w:t>
            </w:r>
          </w:p>
        </w:tc>
      </w:tr>
      <w:tr>
        <w:trPr>
          <w:cantSplit/>
        </w:trPr>
        <w:tc>
          <w:tcPr>
            <w:tcW w:type="dxa" w:w="5760"/>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C1 Spatial planning and implementation</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30%</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10%</w:t>
            </w:r>
          </w:p>
        </w:tc>
        <w:tc>
          <w:tcPr>
            <w:tcW w:type="dxa" w:w="1282"/>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40%</w:t>
            </w:r>
          </w:p>
        </w:tc>
      </w:tr>
      <w:tr>
        <w:trPr>
          <w:cantSplit/>
        </w:trPr>
        <w:tc>
          <w:tcPr>
            <w:tcW w:type="dxa" w:w="5760"/>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C2 Climate adaptation and resilience</w:t>
            </w:r>
          </w:p>
        </w:tc>
        <w:tc>
          <w:tcPr>
            <w:tcW w:type="dxa" w:w="1267"/>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15%</w:t>
            </w:r>
          </w:p>
        </w:tc>
        <w:tc>
          <w:tcPr>
            <w:tcW w:type="dxa" w:w="1267"/>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5%</w:t>
            </w:r>
          </w:p>
        </w:tc>
        <w:tc>
          <w:tcPr>
            <w:tcW w:type="dxa" w:w="1282"/>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20%</w:t>
            </w:r>
          </w:p>
        </w:tc>
      </w:tr>
      <w:tr>
        <w:trPr>
          <w:cantSplit/>
        </w:trPr>
        <w:tc>
          <w:tcPr>
            <w:tcW w:type="dxa" w:w="5760"/>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C3 Just transitions</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10%</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5%</w:t>
            </w:r>
          </w:p>
        </w:tc>
        <w:tc>
          <w:tcPr>
            <w:tcW w:type="dxa" w:w="1282"/>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15%</w:t>
            </w:r>
          </w:p>
        </w:tc>
      </w:tr>
      <w:tr>
        <w:trPr>
          <w:cantSplit/>
        </w:trPr>
        <w:tc>
          <w:tcPr>
            <w:tcW w:type="dxa" w:w="5760"/>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C4 Urban commoning across scales</w:t>
            </w:r>
          </w:p>
        </w:tc>
        <w:tc>
          <w:tcPr>
            <w:tcW w:type="dxa" w:w="1267"/>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10%</w:t>
            </w:r>
          </w:p>
        </w:tc>
        <w:tc>
          <w:tcPr>
            <w:tcW w:type="dxa" w:w="1267"/>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0%</w:t>
            </w:r>
          </w:p>
        </w:tc>
        <w:tc>
          <w:tcPr>
            <w:tcW w:type="dxa" w:w="1282"/>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10%</w:t>
            </w:r>
          </w:p>
        </w:tc>
      </w:tr>
      <w:tr>
        <w:trPr>
          <w:cantSplit/>
        </w:trPr>
        <w:tc>
          <w:tcPr>
            <w:tcW w:type="dxa" w:w="5760"/>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C5 Research and contextual judgement</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5%</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5%</w:t>
            </w:r>
          </w:p>
        </w:tc>
        <w:tc>
          <w:tcPr>
            <w:tcW w:type="dxa" w:w="1282"/>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10%</w:t>
            </w:r>
          </w:p>
        </w:tc>
      </w:tr>
      <w:tr>
        <w:trPr>
          <w:cantSplit/>
        </w:trPr>
        <w:tc>
          <w:tcPr>
            <w:tcW w:type="dxa" w:w="5760"/>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C6 Critical reflection and communication</w:t>
            </w:r>
          </w:p>
        </w:tc>
        <w:tc>
          <w:tcPr>
            <w:tcW w:type="dxa" w:w="1267"/>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0%</w:t>
            </w:r>
          </w:p>
        </w:tc>
        <w:tc>
          <w:tcPr>
            <w:tcW w:type="dxa" w:w="1267"/>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5%</w:t>
            </w:r>
          </w:p>
        </w:tc>
        <w:tc>
          <w:tcPr>
            <w:tcW w:type="dxa" w:w="1282"/>
            <w:shd w:fill="FFFFFF"/>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5%</w:t>
            </w:r>
          </w:p>
        </w:tc>
      </w:tr>
      <w:tr>
        <w:trPr>
          <w:cantSplit/>
        </w:trPr>
        <w:tc>
          <w:tcPr>
            <w:tcW w:type="dxa" w:w="5760"/>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Total</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70%</w:t>
            </w:r>
          </w:p>
        </w:tc>
        <w:tc>
          <w:tcPr>
            <w:tcW w:type="dxa" w:w="1267"/>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30%</w:t>
            </w:r>
          </w:p>
        </w:tc>
        <w:tc>
          <w:tcPr>
            <w:tcW w:type="dxa" w:w="1282"/>
            <w:shd w:fill="F2F2F2"/>
            <w:tcBorders>
              <w:top w:val="single" w:sz="4" w:color="D9D9D9"/>
              <w:left w:val="single" w:sz="4" w:color="D9D9D9"/>
              <w:bottom w:val="single" w:sz="4" w:color="D9D9D9"/>
              <w:right w:val="single" w:sz="4" w:color="D9D9D9"/>
            </w:tcBorders>
          </w:tcPr>
          <w:p>
            <w:pPr>
              <w:spacing w:after="80" w:before="80"/>
            </w:pPr>
            <w:r>
              <w:rPr>
                <w:b w:val="0"/>
                <w:color w:val="000000"/>
                <w:sz w:val="20"/>
                <w:rFonts w:ascii="Helvetica" w:hAnsi="Helvetica" w:eastAsia="Helvetica" w:cs="Helvetica"/>
              </w:rPr>
              <w:t>100%</w:t>
            </w:r>
          </w:p>
        </w:tc>
      </w:tr>
    </w:tbl>
    <w:p/>
    <w:p>
      <w:r>
        <w:rPr>
          <w:b/>
          <w:rFonts w:ascii="Helvetica" w:hAnsi="Helvetica" w:eastAsia="Helvetica" w:cs="Helvetica"/>
        </w:rPr>
        <w:t>Group evidence:</w:t>
      </w:r>
      <w:r>
        <w:rPr>
          <w:rFonts w:ascii="Helvetica" w:hAnsi="Helvetica" w:eastAsia="Helvetica" w:cs="Helvetica"/>
        </w:rPr>
        <w:t xml:space="preserve"> judge the coherence and deliverability of P1–P6, the way testing changes the framework, and the relationship between spatial and governance decisions. Stronger work evaluates alternatives critically, resolves competing objectives and sets credible conditions for implementation.</w:t>
      </w:r>
    </w:p>
    <w:p>
      <w:r>
        <w:rPr>
          <w:b/>
          <w:rFonts w:ascii="Helvetica" w:hAnsi="Helvetica" w:eastAsia="Helvetica" w:cs="Helvetica"/>
        </w:rPr>
        <w:t>Individual evidence:</w:t>
      </w:r>
      <w:r>
        <w:rPr>
          <w:rFonts w:ascii="Helvetica" w:hAnsi="Helvetica" w:eastAsia="Helvetica" w:cs="Helvetica"/>
        </w:rPr>
        <w:t xml:space="preserve"> assess a substantial authored planning contribution under C1; personal climate reasoning under C2; a defended justice decision under C3; traceable research judgement under C5; and reflection, coordination and communication under C6. The group subtotal is shared; individual marks recognise demonstrated personal achievement. The presentation provides evidence within these criteria and carries no additional weighting.</w:t>
      </w:r>
    </w:p>
    <w:p>
      <w:r>
        <w:rPr>
          <w:rFonts w:ascii="Helvetica" w:hAnsi="Helvetica" w:eastAsia="Helvetica" w:cs="Helvetica"/>
        </w:rPr>
        <w:t>Score each non-zero component out of 100 and multiply by its percentage-point weight divided by 100. Add the group subtotal out of 70 and individual subtotal out of 30. P1–P6 define required evidence without adding an automatic overall fail rule or grade cap. Institutional grading and moderation rules remain to be confirmed.</w:t>
      </w:r>
    </w:p>
    <w:p>
      <w:r>
        <w:rPr>
          <w:rFonts w:ascii="Helvetica" w:hAnsi="Helvetica" w:eastAsia="Helvetica" w:cs="Helvetica"/>
        </w:rPr>
        <w:br w:type="page"/>
      </w:r>
    </w:p>
    <w:p>
      <w:pPr>
        <w:pStyle w:val="Heading1"/>
      </w:pPr>
      <w:r>
        <w:rPr>
          <w:rFonts w:ascii="Helvetica" w:hAnsi="Helvetica" w:eastAsia="Helvetica" w:cs="Helvetica"/>
        </w:rPr>
        <w:t>Resources for your project</w:t>
      </w:r>
    </w:p>
    <w:p>
      <w:pPr>
        <w:pStyle w:val="ListBullet"/>
      </w:pPr>
      <w:hyperlink r:id="rId10">
        <w:r>
          <w:rPr>
            <w:u w:val="single"/>
            <w:rFonts w:ascii="Helvetica" w:hAnsi="Helvetica" w:eastAsia="Helvetica" w:cs="Helvetica"/>
          </w:rPr>
          <w:t>Dunedin City Council — 2GP plan and maps</w:t>
        </w:r>
      </w:hyperlink>
      <w:r>
        <w:rPr>
          <w:rFonts w:ascii="Helvetica" w:hAnsi="Helvetica" w:eastAsia="Helvetica" w:cs="Helvetica"/>
        </w:rPr>
        <w:t>. Establish applicable provisions, overlays and their current status at the time of study; record when each was checked.</w:t>
      </w:r>
    </w:p>
    <w:p>
      <w:pPr>
        <w:pStyle w:val="ListBullet"/>
      </w:pPr>
      <w:hyperlink r:id="rId11">
        <w:r>
          <w:rPr>
            <w:u w:val="single"/>
            <w:rFonts w:ascii="Helvetica" w:hAnsi="Helvetica" w:eastAsia="Helvetica" w:cs="Helvetica"/>
          </w:rPr>
          <w:t>Otago Regional Council — Otago’s future climate</w:t>
        </w:r>
      </w:hyperlink>
      <w:r>
        <w:rPr>
          <w:rFonts w:ascii="Helvetica" w:hAnsi="Helvetica" w:eastAsia="Helvetica" w:cs="Helvetica"/>
        </w:rPr>
        <w:t>. Begin scenario selection here, then obtain the local hazard and infrastructure evidence needed for the study area.</w:t>
      </w:r>
    </w:p>
    <w:p>
      <w:pPr>
        <w:pStyle w:val="ListBullet"/>
      </w:pPr>
      <w:hyperlink r:id="rId14">
        <w:r>
          <w:rPr>
            <w:u w:val="single"/>
            <w:rFonts w:ascii="Helvetica" w:hAnsi="Helvetica" w:eastAsia="Helvetica" w:cs="Helvetica"/>
          </w:rPr>
          <w:t>Centre for the Just City — Spatial Justice Conceptual Model</w:t>
        </w:r>
      </w:hyperlink>
      <w:r>
        <w:rPr>
          <w:rFonts w:ascii="Helvetica" w:hAnsi="Helvetica" w:eastAsia="Helvetica" w:cs="Helvetica"/>
        </w:rPr>
        <w:t>. Use its distributive, procedural and recognitional dimensions to interrogate alternatives.</w:t>
      </w:r>
    </w:p>
    <w:p>
      <w:pPr>
        <w:pStyle w:val="ListBullet"/>
      </w:pPr>
      <w:hyperlink r:id="rId26">
        <w:r>
          <w:rPr>
            <w:u w:val="single"/>
            <w:rFonts w:ascii="Helvetica" w:hAnsi="Helvetica" w:eastAsia="Helvetica" w:cs="Helvetica"/>
          </w:rPr>
          <w:t>Existing architecture course outline</w:t>
        </w:r>
      </w:hyperlink>
      <w:r>
        <w:rPr>
          <w:rFonts w:ascii="Helvetica" w:hAnsi="Helvetica" w:eastAsia="Helvetica" w:cs="Helvetica"/>
        </w:rPr>
        <w:t>. Shared thematic context and precedent resources; its 1:50 requirements and architectural marking sheet remain specific to that pathway.</w:t>
      </w:r>
    </w:p>
    <w:p>
      <w:r>
        <w:rPr>
          <w:rFonts w:ascii="Helvetica" w:hAnsi="Helvetica" w:eastAsia="Helvetica" w:cs="Helvetica"/>
        </w:rPr>
        <w:t>Resource links checked 10 October 2026. This brief proposes a student investigation; it does not establish site ownership, development permission, hazard exposure, funding or stakeholder endorsement.</w:t>
      </w:r>
    </w:p>
    <w:sectPr w:rsidR="00124937" w:rsidRPr="00725553" w:rsidSect="00034616">
      <w:footerReference w:type="default" r:id="rId22"/>
      <w:headerReference w:type="default" r:id="rId25"/>
      <w:pgSz w:w="11906" w:h="16838"/>
      <w:pgMar w:top="1020" w:right="1134" w:bottom="907" w:left="1134"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30BC05" w14:textId="77777777" w:rsidR="00290407" w:rsidRDefault="00290407">
      <w:pPr>
        <w:spacing w:after="0" w:line="240" w:lineRule="auto"/>
      </w:pPr>
      <w:r>
        <w:rPr>
          <w:rFonts w:ascii="Helvetica" w:hAnsi="Helvetica" w:eastAsia="Helvetica" w:cs="Helvetica"/>
        </w:rPr>
        <w:separator/>
      </w:r>
    </w:p>
  </w:endnote>
  <w:endnote w:type="continuationSeparator" w:id="0">
    <w:p w14:paraId="08717D79" w14:textId="77777777" w:rsidR="00290407" w:rsidRDefault="00290407">
      <w:pPr>
        <w:spacing w:after="0" w:line="240" w:lineRule="auto"/>
      </w:pPr>
      <w:r>
        <w:rPr>
          <w:rFonts w:ascii="Helvetica" w:hAnsi="Helvetica" w:eastAsia="Helvetica" w:cs="Helvetic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391B4" w14:textId="77777777" w:rsidR="00124937" w:rsidRPr="00725553" w:rsidRDefault="00000000">
    <w:pPr>
      <w:pStyle w:val="Footer"/>
      <w:jc w:val="right"/>
      <w:rPr>
        <w:rFonts w:ascii="Helvetica" w:hAnsi="Helvetica" w:eastAsia="Helvetica" w:cs="Helvetica"/>
      </w:rPr>
    </w:pPr>
    <w:r>
      <w:rPr>
        <w:rFonts w:ascii="Helvetica" w:hAnsi="Helvetica" w:eastAsia="Helvetica" w:cs="Helvetica"/>
      </w:rPr>
      <w:t>Atelier South 2027  |  Planning pathway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62FB64" w14:textId="77777777" w:rsidR="00290407" w:rsidRDefault="00290407">
      <w:pPr>
        <w:spacing w:after="0" w:line="240" w:lineRule="auto"/>
      </w:pPr>
      <w:r>
        <w:rPr>
          <w:rFonts w:ascii="Helvetica" w:hAnsi="Helvetica" w:eastAsia="Helvetica" w:cs="Helvetica"/>
        </w:rPr>
        <w:separator/>
      </w:r>
    </w:p>
  </w:footnote>
  <w:footnote w:type="continuationSeparator" w:id="0">
    <w:p w14:paraId="0EE5F534" w14:textId="77777777" w:rsidR="00290407" w:rsidRDefault="00290407">
      <w:pPr>
        <w:spacing w:after="0" w:line="240" w:lineRule="auto"/>
      </w:pPr>
      <w:r>
        <w:rPr>
          <w:rFonts w:ascii="Helvetica" w:hAnsi="Helvetica" w:eastAsia="Helvetica" w:cs="Helvetica"/>
        </w:rP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Helvetica" w:hAnsi="Helvetica" w:eastAsia="Helvetica" w:cs="Helvetica"/>
      </w:r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Helvetica" w:hAnsi="Helvetica" w:eastAsia="Helvetica" w:cs="Helvetica"/>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Helvetica" w:hAnsi="Helvetica" w:eastAsia="Helvetica" w:cs="Helvetica"/>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Helvetica" w:hAnsi="Helvetica" w:eastAsia="Helvetica" w:cs="Helvetica"/>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Helvetica" w:hAnsi="Helvetica" w:eastAsia="Helvetica" w:cs="Helvetica"/>
      </w:rPr>
    </w:lvl>
  </w:abstractNum>
  <w:num w:numId="1" w16cid:durableId="1495872966">
    <w:abstractNumId w:val="8"/>
  </w:num>
  <w:num w:numId="2" w16cid:durableId="117072734">
    <w:abstractNumId w:val="6"/>
  </w:num>
  <w:num w:numId="3" w16cid:durableId="970671898">
    <w:abstractNumId w:val="5"/>
  </w:num>
  <w:num w:numId="4" w16cid:durableId="2107462849">
    <w:abstractNumId w:val="4"/>
  </w:num>
  <w:num w:numId="5" w16cid:durableId="1963882273">
    <w:abstractNumId w:val="7"/>
  </w:num>
  <w:num w:numId="6" w16cid:durableId="1124999125">
    <w:abstractNumId w:val="3"/>
  </w:num>
  <w:num w:numId="7" w16cid:durableId="2128696772">
    <w:abstractNumId w:val="2"/>
  </w:num>
  <w:num w:numId="8" w16cid:durableId="177240114">
    <w:abstractNumId w:val="1"/>
  </w:num>
  <w:num w:numId="9" w16cid:durableId="6278568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4937"/>
    <w:rsid w:val="0015074B"/>
    <w:rsid w:val="00290407"/>
    <w:rsid w:val="0029639D"/>
    <w:rsid w:val="00326F90"/>
    <w:rsid w:val="00725553"/>
    <w:rsid w:val="009D0527"/>
    <w:rsid w:val="00A40EF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00701"/>
  <w14:defaultImageDpi w14:val="300"/>
  <w15:docId w15:val="{EDD4D4F8-B060-4047-809A-58F9FC4890B9}"/>
  <w:showAll w:val="0"/>
  <w:showBreaks w:val="0"/>
  <w:showSpaces w:val="0"/>
  <w:showTabs w:val="0"/>
  <w:showParagraphMarks w:val="0"/>
  <w:showOptionalHyphens w:val="0"/>
  <w:showHiddenText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hAnsi="Helvetica" w:eastAsia="Helvetica" w:cs="Helvetica"/>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Helvetica" w:hAnsi="Helvetica" w:eastAsia="Helvetica" w:cs="Helvetica"/>
      <w:color w:val="000000"/>
      <w:sz w:val="22"/>
      <w:lang w:val="en-NZ"/>
    </w:rPr>
  </w:style>
  <w:style w:type="paragraph" w:styleId="Heading1">
    <w:name w:val="heading 1"/>
    <w:basedOn w:val="Normal"/>
    <w:next w:val="Normal"/>
    <w:link w:val="Heading1Char"/>
    <w:uiPriority w:val="9"/>
    <w:qFormat/>
    <w:rsid w:val="00FC693F"/>
    <w:pPr>
      <w:keepNext/>
      <w:keepLines/>
      <w:spacing w:before="180" w:after="140"/>
      <w:outlineLvl w:val="0"/>
    </w:pPr>
    <w:rPr>
      <w:rFonts w:ascii="Helvetica" w:hAnsi="Helvetica" w:eastAsia="Helvetica" w:cs="Helvetica"/>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Helvetica" w:hAnsi="Helvetica" w:eastAsia="Helvetica" w:cs="Helvetic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140"/>
      <w:outlineLvl w:val="2"/>
    </w:pPr>
    <w:rPr>
      <w:rFonts w:ascii="Helvetica" w:hAnsi="Helvetica" w:eastAsia="Helvetica" w:cs="Helvetica"/>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Helvetica" w:hAnsi="Helvetica" w:eastAsia="Helvetica" w:cs="Helvetic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Helvetica" w:hAnsi="Helvetica" w:eastAsia="Helvetica" w:cs="Helvetic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Helvetica" w:hAnsi="Helvetica" w:eastAsia="Helvetica" w:cs="Helvetic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Helvetica" w:hAnsi="Helvetica" w:eastAsia="Helvetica" w:cs="Helvetic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Helvetica" w:hAnsi="Helvetica" w:eastAsia="Helvetica" w:cs="Helvetica"/>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Helvetica" w:hAnsi="Helvetica" w:eastAsia="Helvetica" w:cs="Helvetic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Helvetica" w:hAnsi="Helvetica" w:eastAsia="Helvetica" w:cs="Helvetica"/>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Helvetica" w:hAnsi="Helvetica" w:eastAsia="Helvetica" w:cs="Helvetica"/>
      <w:b/>
      <w:bCs/>
      <w:color w:val="4F81BD" w:themeColor="accent1"/>
      <w:sz w:val="26"/>
      <w:szCs w:val="26"/>
    </w:rPr>
  </w:style>
  <w:style w:type="character" w:customStyle="1" w:styleId="Heading3Char">
    <w:name w:val="Heading 3 Char"/>
    <w:basedOn w:val="DefaultParagraphFont"/>
    <w:link w:val="Heading3"/>
    <w:uiPriority w:val="9"/>
    <w:rsid w:val="00FC693F"/>
    <w:rPr>
      <w:rFonts w:ascii="Helvetica" w:hAnsi="Helvetica" w:eastAsia="Helvetica" w:cs="Helvetica"/>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Helvetica" w:hAnsi="Helvetica" w:eastAsia="Helvetica" w:cs="Helvetica"/>
      <w:color w:val="000000"/>
      <w:spacing w:val="5"/>
      <w:kern w:val="28"/>
      <w:sz w:val="56"/>
      <w:szCs w:val="52"/>
    </w:rPr>
  </w:style>
  <w:style w:type="character" w:customStyle="1" w:styleId="TitleChar">
    <w:name w:val="Title Char"/>
    <w:basedOn w:val="DefaultParagraphFont"/>
    <w:link w:val="Title"/>
    <w:uiPriority w:val="10"/>
    <w:rsid w:val="00FC693F"/>
    <w:rPr>
      <w:rFonts w:ascii="Helvetica" w:hAnsi="Helvetica" w:eastAsia="Helvetica" w:cs="Helvetic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Helvetica" w:hAnsi="Helvetica" w:eastAsia="Helvetica" w:cs="Helvetica"/>
      <w:i/>
      <w:iCs/>
      <w:color w:val="000000"/>
      <w:spacing w:val="15"/>
      <w:sz w:val="30"/>
      <w:szCs w:val="24"/>
    </w:rPr>
  </w:style>
  <w:style w:type="character" w:customStyle="1" w:styleId="SubtitleChar">
    <w:name w:val="Subtitle Char"/>
    <w:basedOn w:val="DefaultParagraphFont"/>
    <w:link w:val="Subtitle"/>
    <w:uiPriority w:val="11"/>
    <w:rsid w:val="00FC693F"/>
    <w:rPr>
      <w:rFonts w:ascii="Helvetica" w:hAnsi="Helvetica" w:eastAsia="Helvetica" w:cs="Helvetica"/>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Fonts w:ascii="Helvetica" w:hAnsi="Helvetica" w:eastAsia="Helvetica" w:cs="Helvetica"/>
    </w:rPr>
  </w:style>
  <w:style w:type="character" w:customStyle="1" w:styleId="BodyText3Char">
    <w:name w:val="Body Text 3 Char"/>
    <w:basedOn w:val="DefaultParagraphFont"/>
    <w:link w:val="BodyText3"/>
    <w:uiPriority w:val="99"/>
    <w:rsid w:val="00AA1D8D"/>
    <w:rPr>
      <w:sz w:val="16"/>
      <w:szCs w:val="16"/>
      <w:rFonts w:ascii="Helvetica" w:hAnsi="Helvetica" w:eastAsia="Helvetica" w:cs="Helvetica"/>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Helvetica" w:hAnsi="Helvetica" w:eastAsia="Helvetica" w:cs="Helvetica"/>
      <w:sz w:val="20"/>
      <w:szCs w:val="20"/>
    </w:rPr>
  </w:style>
  <w:style w:type="character" w:customStyle="1" w:styleId="MacroTextChar">
    <w:name w:val="Macro Text Char"/>
    <w:basedOn w:val="DefaultParagraphFont"/>
    <w:link w:val="MacroText"/>
    <w:uiPriority w:val="99"/>
    <w:rsid w:val="0029639D"/>
    <w:rPr>
      <w:rFonts w:ascii="Helvetica" w:hAnsi="Helvetica" w:eastAsia="Helvetica" w:cs="Helvetica"/>
      <w:sz w:val="20"/>
      <w:szCs w:val="20"/>
    </w:rPr>
  </w:style>
  <w:style w:type="paragraph" w:styleId="Quote">
    <w:name w:val="Quote"/>
    <w:basedOn w:val="Normal"/>
    <w:next w:val="Normal"/>
    <w:link w:val="QuoteChar"/>
    <w:uiPriority w:val="29"/>
    <w:qFormat/>
    <w:rsid w:val="00FC693F"/>
    <w:rPr>
      <w:i/>
      <w:iCs/>
      <w:color w:val="000000" w:themeColor="text1"/>
      <w:rFonts w:ascii="Helvetica" w:hAnsi="Helvetica" w:eastAsia="Helvetica" w:cs="Helvetica"/>
    </w:rPr>
  </w:style>
  <w:style w:type="character" w:customStyle="1" w:styleId="QuoteChar">
    <w:name w:val="Quote Char"/>
    <w:basedOn w:val="DefaultParagraphFont"/>
    <w:link w:val="Quote"/>
    <w:uiPriority w:val="29"/>
    <w:rsid w:val="00FC693F"/>
    <w:rPr>
      <w:i/>
      <w:iCs/>
      <w:color w:val="000000" w:themeColor="text1"/>
      <w:rFonts w:ascii="Helvetica" w:hAnsi="Helvetica" w:eastAsia="Helvetica" w:cs="Helvetica"/>
    </w:rPr>
  </w:style>
  <w:style w:type="character" w:customStyle="1" w:styleId="Heading4Char">
    <w:name w:val="Heading 4 Char"/>
    <w:basedOn w:val="DefaultParagraphFont"/>
    <w:link w:val="Heading4"/>
    <w:uiPriority w:val="9"/>
    <w:semiHidden/>
    <w:rsid w:val="00FC693F"/>
    <w:rPr>
      <w:rFonts w:ascii="Helvetica" w:hAnsi="Helvetica" w:eastAsia="Helvetica" w:cs="Helvetica"/>
      <w:b/>
      <w:bCs/>
      <w:i/>
      <w:iCs/>
      <w:color w:val="4F81BD" w:themeColor="accent1"/>
    </w:rPr>
  </w:style>
  <w:style w:type="character" w:customStyle="1" w:styleId="Heading5Char">
    <w:name w:val="Heading 5 Char"/>
    <w:basedOn w:val="DefaultParagraphFont"/>
    <w:link w:val="Heading5"/>
    <w:uiPriority w:val="9"/>
    <w:semiHidden/>
    <w:rsid w:val="00FC693F"/>
    <w:rPr>
      <w:rFonts w:ascii="Helvetica" w:hAnsi="Helvetica" w:eastAsia="Helvetica" w:cs="Helvetica"/>
      <w:color w:val="243F60" w:themeColor="accent1" w:themeShade="7F"/>
    </w:rPr>
  </w:style>
  <w:style w:type="character" w:customStyle="1" w:styleId="Heading6Char">
    <w:name w:val="Heading 6 Char"/>
    <w:basedOn w:val="DefaultParagraphFont"/>
    <w:link w:val="Heading6"/>
    <w:uiPriority w:val="9"/>
    <w:semiHidden/>
    <w:rsid w:val="00FC693F"/>
    <w:rPr>
      <w:rFonts w:ascii="Helvetica" w:hAnsi="Helvetica" w:eastAsia="Helvetica" w:cs="Helvetica"/>
      <w:i/>
      <w:iCs/>
      <w:color w:val="243F60" w:themeColor="accent1" w:themeShade="7F"/>
    </w:rPr>
  </w:style>
  <w:style w:type="character" w:customStyle="1" w:styleId="Heading7Char">
    <w:name w:val="Heading 7 Char"/>
    <w:basedOn w:val="DefaultParagraphFont"/>
    <w:link w:val="Heading7"/>
    <w:uiPriority w:val="9"/>
    <w:semiHidden/>
    <w:rsid w:val="00FC693F"/>
    <w:rPr>
      <w:rFonts w:ascii="Helvetica" w:hAnsi="Helvetica" w:eastAsia="Helvetica" w:cs="Helvetica"/>
      <w:i/>
      <w:iCs/>
      <w:color w:val="404040" w:themeColor="text1" w:themeTint="BF"/>
    </w:rPr>
  </w:style>
  <w:style w:type="character" w:customStyle="1" w:styleId="Heading8Char">
    <w:name w:val="Heading 8 Char"/>
    <w:basedOn w:val="DefaultParagraphFont"/>
    <w:link w:val="Heading8"/>
    <w:uiPriority w:val="9"/>
    <w:semiHidden/>
    <w:rsid w:val="00FC693F"/>
    <w:rPr>
      <w:rFonts w:ascii="Helvetica" w:hAnsi="Helvetica" w:eastAsia="Helvetica" w:cs="Helvetica"/>
      <w:color w:val="4F81BD" w:themeColor="accent1"/>
      <w:sz w:val="20"/>
      <w:szCs w:val="20"/>
    </w:rPr>
  </w:style>
  <w:style w:type="character" w:customStyle="1" w:styleId="Heading9Char">
    <w:name w:val="Heading 9 Char"/>
    <w:basedOn w:val="DefaultParagraphFont"/>
    <w:link w:val="Heading9"/>
    <w:uiPriority w:val="9"/>
    <w:semiHidden/>
    <w:rsid w:val="00FC693F"/>
    <w:rPr>
      <w:rFonts w:ascii="Helvetica" w:hAnsi="Helvetica" w:eastAsia="Helvetica" w:cs="Helvetica"/>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Fonts w:ascii="Helvetica" w:hAnsi="Helvetica" w:eastAsia="Helvetica" w:cs="Helvetica"/>
    </w:rPr>
  </w:style>
  <w:style w:type="character" w:styleId="Strong">
    <w:name w:val="Strong"/>
    <w:basedOn w:val="DefaultParagraphFont"/>
    <w:uiPriority w:val="22"/>
    <w:qFormat/>
    <w:rsid w:val="00FC693F"/>
    <w:rPr>
      <w:b/>
      <w:bCs/>
      <w:rFonts w:ascii="Helvetica" w:hAnsi="Helvetica" w:eastAsia="Helvetica" w:cs="Helvetica"/>
    </w:rPr>
  </w:style>
  <w:style w:type="character" w:styleId="Emphasis">
    <w:name w:val="Emphasis"/>
    <w:basedOn w:val="DefaultParagraphFont"/>
    <w:uiPriority w:val="20"/>
    <w:qFormat/>
    <w:rsid w:val="00FC693F"/>
    <w:rPr>
      <w:i/>
      <w:iCs/>
      <w:rFonts w:ascii="Helvetica" w:hAnsi="Helvetica" w:eastAsia="Helvetica" w:cs="Helvetica"/>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Fonts w:ascii="Helvetica" w:hAnsi="Helvetica" w:eastAsia="Helvetica" w:cs="Helvetica"/>
    </w:rPr>
  </w:style>
  <w:style w:type="character" w:customStyle="1" w:styleId="IntenseQuoteChar">
    <w:name w:val="Intense Quote Char"/>
    <w:basedOn w:val="DefaultParagraphFont"/>
    <w:link w:val="IntenseQuote"/>
    <w:uiPriority w:val="30"/>
    <w:rsid w:val="00FC693F"/>
    <w:rPr>
      <w:b/>
      <w:bCs/>
      <w:i/>
      <w:iCs/>
      <w:color w:val="4F81BD" w:themeColor="accent1"/>
      <w:rFonts w:ascii="Helvetica" w:hAnsi="Helvetica" w:eastAsia="Helvetica" w:cs="Helvetica"/>
    </w:rPr>
  </w:style>
  <w:style w:type="character" w:styleId="SubtleEmphasis">
    <w:name w:val="Subtle Emphasis"/>
    <w:basedOn w:val="DefaultParagraphFont"/>
    <w:uiPriority w:val="19"/>
    <w:qFormat/>
    <w:rsid w:val="00FC693F"/>
    <w:rPr>
      <w:i/>
      <w:iCs/>
      <w:color w:val="808080" w:themeColor="text1" w:themeTint="7F"/>
      <w:rFonts w:ascii="Helvetica" w:hAnsi="Helvetica" w:eastAsia="Helvetica" w:cs="Helvetica"/>
    </w:rPr>
  </w:style>
  <w:style w:type="character" w:styleId="IntenseEmphasis">
    <w:name w:val="Intense Emphasis"/>
    <w:basedOn w:val="DefaultParagraphFont"/>
    <w:uiPriority w:val="21"/>
    <w:qFormat/>
    <w:rsid w:val="00FC693F"/>
    <w:rPr>
      <w:b/>
      <w:bCs/>
      <w:i/>
      <w:iCs/>
      <w:color w:val="4F81BD" w:themeColor="accent1"/>
      <w:rFonts w:ascii="Helvetica" w:hAnsi="Helvetica" w:eastAsia="Helvetica" w:cs="Helvetica"/>
    </w:rPr>
  </w:style>
  <w:style w:type="character" w:styleId="SubtleReference">
    <w:name w:val="Subtle Reference"/>
    <w:basedOn w:val="DefaultParagraphFont"/>
    <w:uiPriority w:val="31"/>
    <w:qFormat/>
    <w:rsid w:val="00FC693F"/>
    <w:rPr>
      <w:smallCaps/>
      <w:color w:val="C0504D" w:themeColor="accent2"/>
      <w:u w:val="single"/>
      <w:rFonts w:ascii="Helvetica" w:hAnsi="Helvetica" w:eastAsia="Helvetica" w:cs="Helvetica"/>
    </w:rPr>
  </w:style>
  <w:style w:type="character" w:styleId="IntenseReference">
    <w:name w:val="Intense Reference"/>
    <w:basedOn w:val="DefaultParagraphFont"/>
    <w:uiPriority w:val="32"/>
    <w:qFormat/>
    <w:rsid w:val="00FC693F"/>
    <w:rPr>
      <w:b/>
      <w:bCs/>
      <w:smallCaps/>
      <w:color w:val="C0504D" w:themeColor="accent2"/>
      <w:spacing w:val="5"/>
      <w:u w:val="single"/>
      <w:rFonts w:ascii="Helvetica" w:hAnsi="Helvetica" w:eastAsia="Helvetica" w:cs="Helvetica"/>
    </w:rPr>
  </w:style>
  <w:style w:type="character" w:styleId="BookTitle">
    <w:name w:val="Book Title"/>
    <w:basedOn w:val="DefaultParagraphFont"/>
    <w:uiPriority w:val="33"/>
    <w:qFormat/>
    <w:rsid w:val="00FC693F"/>
    <w:rPr>
      <w:b/>
      <w:bCs/>
      <w:smallCaps/>
      <w:spacing w:val="5"/>
      <w:rFonts w:ascii="Helvetica" w:hAnsi="Helvetica" w:eastAsia="Helvetica" w:cs="Helvetica"/>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Helvetica" w:hAnsi="Helvetica" w:eastAsia="Helvetica" w:cs="Helveti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Helvetica" w:hAnsi="Helvetica" w:eastAsia="Helvetica" w:cs="Helvetica"/>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Helvetica" w:hAnsi="Helvetica" w:eastAsia="Helvetica" w:cs="Helvetic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Helvetica" w:hAnsi="Helvetica" w:eastAsia="Helvetica" w:cs="Helvetica"/>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Helvetica" w:hAnsi="Helvetica" w:eastAsia="Helvetica" w:cs="Helvetica"/>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Helvetica" w:hAnsi="Helvetica" w:eastAsia="Helvetica" w:cs="Helvetica"/>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Helvetica" w:hAnsi="Helvetica" w:eastAsia="Helvetica" w:cs="Helvetica"/>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Helvetica" w:hAnsi="Helvetica" w:eastAsia="Helvetica" w:cs="Helvetica"/>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Helvetica" w:hAnsi="Helvetica" w:eastAsia="Helvetica" w:cs="Helvetica"/>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Helvetica" w:hAnsi="Helvetica" w:eastAsia="Helvetica" w:cs="Helvetica"/>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Helvetica" w:hAnsi="Helvetica" w:eastAsia="Helvetica" w:cs="Helvetica"/>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Helvetica" w:hAnsi="Helvetica" w:eastAsia="Helvetica" w:cs="Helvetica"/>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Helvetica" w:hAnsi="Helvetica" w:eastAsia="Helvetica" w:cs="Helvetica"/>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Helvetica" w:hAnsi="Helvetica" w:eastAsia="Helvetica" w:cs="Helvetica"/>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000000" w:themeFill="text1"/>
      </w:tcPr>
    </w:tblStylePr>
    <w:tblStylePr w:type="lastRow">
      <w:pPr>
        <w:spacing w:before="0" w:after="0" w:line="240" w:lineRule="auto"/>
      </w:pPr>
      <w:rPr>
        <w:b/>
        <w:bCs/>
        <w:rFonts w:ascii="Helvetica" w:hAnsi="Helvetica" w:eastAsia="Helvetica" w:cs="Helvetica"/>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4F81BD" w:themeFill="accent1"/>
      </w:tcPr>
    </w:tblStylePr>
    <w:tblStylePr w:type="lastRow">
      <w:pPr>
        <w:spacing w:before="0" w:after="0" w:line="240" w:lineRule="auto"/>
      </w:pPr>
      <w:rPr>
        <w:b/>
        <w:bCs/>
        <w:rFonts w:ascii="Helvetica" w:hAnsi="Helvetica" w:eastAsia="Helvetica" w:cs="Helvetica"/>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C0504D" w:themeFill="accent2"/>
      </w:tcPr>
    </w:tblStylePr>
    <w:tblStylePr w:type="lastRow">
      <w:pPr>
        <w:spacing w:before="0" w:after="0" w:line="240" w:lineRule="auto"/>
      </w:pPr>
      <w:rPr>
        <w:b/>
        <w:bCs/>
        <w:rFonts w:ascii="Helvetica" w:hAnsi="Helvetica" w:eastAsia="Helvetica" w:cs="Helvetica"/>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9BBB59" w:themeFill="accent3"/>
      </w:tcPr>
    </w:tblStylePr>
    <w:tblStylePr w:type="lastRow">
      <w:pPr>
        <w:spacing w:before="0" w:after="0" w:line="240" w:lineRule="auto"/>
      </w:pPr>
      <w:rPr>
        <w:b/>
        <w:bCs/>
        <w:rFonts w:ascii="Helvetica" w:hAnsi="Helvetica" w:eastAsia="Helvetica" w:cs="Helvetica"/>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8064A2" w:themeFill="accent4"/>
      </w:tcPr>
    </w:tblStylePr>
    <w:tblStylePr w:type="lastRow">
      <w:pPr>
        <w:spacing w:before="0" w:after="0" w:line="240" w:lineRule="auto"/>
      </w:pPr>
      <w:rPr>
        <w:b/>
        <w:bCs/>
        <w:rFonts w:ascii="Helvetica" w:hAnsi="Helvetica" w:eastAsia="Helvetica" w:cs="Helvetica"/>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4BACC6" w:themeFill="accent5"/>
      </w:tcPr>
    </w:tblStylePr>
    <w:tblStylePr w:type="lastRow">
      <w:pPr>
        <w:spacing w:before="0" w:after="0" w:line="240" w:lineRule="auto"/>
      </w:pPr>
      <w:rPr>
        <w:b/>
        <w:bCs/>
        <w:rFonts w:ascii="Helvetica" w:hAnsi="Helvetica" w:eastAsia="Helvetica" w:cs="Helvetica"/>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F79646" w:themeFill="accent6"/>
      </w:tcPr>
    </w:tblStylePr>
    <w:tblStylePr w:type="lastRow">
      <w:pPr>
        <w:spacing w:before="0" w:after="0" w:line="240" w:lineRule="auto"/>
      </w:pPr>
      <w:rPr>
        <w:b/>
        <w:bCs/>
        <w:rFonts w:ascii="Helvetica" w:hAnsi="Helvetica" w:eastAsia="Helvetica" w:cs="Helvetica"/>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Helvetica" w:hAnsi="Helvetica" w:eastAsia="Helvetica" w:cs="Helvetic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Helvetica" w:hAnsi="Helvetica" w:eastAsia="Helvetica" w:cs="Helvetic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Helvetica" w:hAnsi="Helvetica" w:eastAsia="Helvetica" w:cs="Helvetic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Helvetica" w:hAnsi="Helvetica" w:eastAsia="Helvetica" w:cs="Helvetic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Helvetica" w:hAnsi="Helvetica" w:eastAsia="Helvetica" w:cs="Helvetic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Helvetica" w:hAnsi="Helvetica" w:eastAsia="Helvetica" w:cs="Helvetic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Helvetica" w:hAnsi="Helvetica" w:eastAsia="Helvetica" w:cs="Helvetic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Helvetica" w:hAnsi="Helvetica" w:eastAsia="Helvetica" w:cs="Helvetic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Helvetica" w:hAnsi="Helvetica" w:eastAsia="Helvetica" w:cs="Helvetic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Helvetica" w:hAnsi="Helvetica" w:eastAsia="Helvetica" w:cs="Helvetic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Helvetica" w:hAnsi="Helvetica" w:eastAsia="Helvetica" w:cs="Helvetic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Helvetica" w:hAnsi="Helvetica" w:eastAsia="Helvetica" w:cs="Helvetic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Helvetica" w:hAnsi="Helvetica" w:eastAsia="Helvetica" w:cs="Helvetic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Helvetica" w:hAnsi="Helvetica" w:eastAsia="Helvetica" w:cs="Helvetic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Helvetica" w:hAnsi="Helvetica" w:eastAsia="Helvetica" w:cs="Helvetica"/>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Helvetica" w:hAnsi="Helvetica" w:eastAsia="Helvetica" w:cs="Helvetica"/>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Helvetica" w:hAnsi="Helvetica" w:eastAsia="Helvetica" w:cs="Helvetica"/>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Helvetica" w:hAnsi="Helvetica" w:eastAsia="Helvetica" w:cs="Helvetica"/>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Helvetica" w:hAnsi="Helvetica" w:eastAsia="Helvetica" w:cs="Helvetica"/>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Helvetica" w:hAnsi="Helvetica" w:eastAsia="Helvetica" w:cs="Helvetica"/>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Helvetica" w:hAnsi="Helvetica" w:eastAsia="Helvetica" w:cs="Helvetica"/>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000000" w:themeColor="text1"/>
        <w:bottom w:val="single" w:sz="8" w:space="0" w:color="000000" w:themeColor="text1"/>
      </w:tblBorders>
    </w:tblPr>
    <w:tblStylePr w:type="firstRow">
      <w:rPr>
        <w:rFonts w:ascii="Helvetica" w:hAnsi="Helvetica" w:eastAsia="Helvetica" w:cs="Helvetica"/>
      </w:rPr>
      <w:tblPr/>
      <w:tcPr>
        <w:tcBorders>
          <w:top w:val="nil"/>
          <w:bottom w:val="single" w:sz="8" w:space="0" w:color="000000" w:themeColor="text1"/>
        </w:tcBorders>
      </w:tcPr>
    </w:tblStylePr>
    <w:tblStylePr w:type="lastRow">
      <w:rPr>
        <w:b/>
        <w:bCs/>
        <w:color w:val="1F497D" w:themeColor="text2"/>
        <w:rFonts w:ascii="Helvetica" w:hAnsi="Helvetica" w:eastAsia="Helvetica" w:cs="Helvetica"/>
      </w:rPr>
      <w:tblPr/>
      <w:tcPr>
        <w:tcBorders>
          <w:top w:val="single" w:sz="8" w:space="0" w:color="000000" w:themeColor="text1"/>
          <w:bottom w:val="single" w:sz="8" w:space="0" w:color="000000" w:themeColor="text1"/>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4F81BD" w:themeColor="accent1"/>
        <w:bottom w:val="single" w:sz="8" w:space="0" w:color="4F81BD" w:themeColor="accent1"/>
      </w:tblBorders>
    </w:tblPr>
    <w:tblStylePr w:type="firstRow">
      <w:rPr>
        <w:rFonts w:ascii="Helvetica" w:hAnsi="Helvetica" w:eastAsia="Helvetica" w:cs="Helvetica"/>
      </w:rPr>
      <w:tblPr/>
      <w:tcPr>
        <w:tcBorders>
          <w:top w:val="nil"/>
          <w:bottom w:val="single" w:sz="8" w:space="0" w:color="4F81BD" w:themeColor="accent1"/>
        </w:tcBorders>
      </w:tcPr>
    </w:tblStylePr>
    <w:tblStylePr w:type="lastRow">
      <w:rPr>
        <w:b/>
        <w:bCs/>
        <w:color w:val="1F497D" w:themeColor="text2"/>
        <w:rFonts w:ascii="Helvetica" w:hAnsi="Helvetica" w:eastAsia="Helvetica" w:cs="Helvetica"/>
      </w:rPr>
      <w:tblPr/>
      <w:tcPr>
        <w:tcBorders>
          <w:top w:val="single" w:sz="8" w:space="0" w:color="4F81BD" w:themeColor="accent1"/>
          <w:bottom w:val="single" w:sz="8" w:space="0" w:color="4F81BD" w:themeColor="accent1"/>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C0504D" w:themeColor="accent2"/>
        <w:bottom w:val="single" w:sz="8" w:space="0" w:color="C0504D" w:themeColor="accent2"/>
      </w:tblBorders>
    </w:tblPr>
    <w:tblStylePr w:type="firstRow">
      <w:rPr>
        <w:rFonts w:ascii="Helvetica" w:hAnsi="Helvetica" w:eastAsia="Helvetica" w:cs="Helvetica"/>
      </w:rPr>
      <w:tblPr/>
      <w:tcPr>
        <w:tcBorders>
          <w:top w:val="nil"/>
          <w:bottom w:val="single" w:sz="8" w:space="0" w:color="C0504D" w:themeColor="accent2"/>
        </w:tcBorders>
      </w:tcPr>
    </w:tblStylePr>
    <w:tblStylePr w:type="lastRow">
      <w:rPr>
        <w:b/>
        <w:bCs/>
        <w:color w:val="1F497D" w:themeColor="text2"/>
        <w:rFonts w:ascii="Helvetica" w:hAnsi="Helvetica" w:eastAsia="Helvetica" w:cs="Helvetica"/>
      </w:rPr>
      <w:tblPr/>
      <w:tcPr>
        <w:tcBorders>
          <w:top w:val="single" w:sz="8" w:space="0" w:color="C0504D" w:themeColor="accent2"/>
          <w:bottom w:val="single" w:sz="8" w:space="0" w:color="C0504D" w:themeColor="accent2"/>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9BBB59" w:themeColor="accent3"/>
        <w:bottom w:val="single" w:sz="8" w:space="0" w:color="9BBB59" w:themeColor="accent3"/>
      </w:tblBorders>
    </w:tblPr>
    <w:tblStylePr w:type="firstRow">
      <w:rPr>
        <w:rFonts w:ascii="Helvetica" w:hAnsi="Helvetica" w:eastAsia="Helvetica" w:cs="Helvetica"/>
      </w:rPr>
      <w:tblPr/>
      <w:tcPr>
        <w:tcBorders>
          <w:top w:val="nil"/>
          <w:bottom w:val="single" w:sz="8" w:space="0" w:color="9BBB59" w:themeColor="accent3"/>
        </w:tcBorders>
      </w:tcPr>
    </w:tblStylePr>
    <w:tblStylePr w:type="lastRow">
      <w:rPr>
        <w:b/>
        <w:bCs/>
        <w:color w:val="1F497D" w:themeColor="text2"/>
        <w:rFonts w:ascii="Helvetica" w:hAnsi="Helvetica" w:eastAsia="Helvetica" w:cs="Helvetica"/>
      </w:rPr>
      <w:tblPr/>
      <w:tcPr>
        <w:tcBorders>
          <w:top w:val="single" w:sz="8" w:space="0" w:color="9BBB59" w:themeColor="accent3"/>
          <w:bottom w:val="single" w:sz="8" w:space="0" w:color="9BBB59" w:themeColor="accent3"/>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8064A2" w:themeColor="accent4"/>
        <w:bottom w:val="single" w:sz="8" w:space="0" w:color="8064A2" w:themeColor="accent4"/>
      </w:tblBorders>
    </w:tblPr>
    <w:tblStylePr w:type="firstRow">
      <w:rPr>
        <w:rFonts w:ascii="Helvetica" w:hAnsi="Helvetica" w:eastAsia="Helvetica" w:cs="Helvetica"/>
      </w:rPr>
      <w:tblPr/>
      <w:tcPr>
        <w:tcBorders>
          <w:top w:val="nil"/>
          <w:bottom w:val="single" w:sz="8" w:space="0" w:color="8064A2" w:themeColor="accent4"/>
        </w:tcBorders>
      </w:tcPr>
    </w:tblStylePr>
    <w:tblStylePr w:type="lastRow">
      <w:rPr>
        <w:b/>
        <w:bCs/>
        <w:color w:val="1F497D" w:themeColor="text2"/>
        <w:rFonts w:ascii="Helvetica" w:hAnsi="Helvetica" w:eastAsia="Helvetica" w:cs="Helvetica"/>
      </w:rPr>
      <w:tblPr/>
      <w:tcPr>
        <w:tcBorders>
          <w:top w:val="single" w:sz="8" w:space="0" w:color="8064A2" w:themeColor="accent4"/>
          <w:bottom w:val="single" w:sz="8" w:space="0" w:color="8064A2" w:themeColor="accent4"/>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4BACC6" w:themeColor="accent5"/>
        <w:bottom w:val="single" w:sz="8" w:space="0" w:color="4BACC6" w:themeColor="accent5"/>
      </w:tblBorders>
    </w:tblPr>
    <w:tblStylePr w:type="firstRow">
      <w:rPr>
        <w:rFonts w:ascii="Helvetica" w:hAnsi="Helvetica" w:eastAsia="Helvetica" w:cs="Helvetica"/>
      </w:rPr>
      <w:tblPr/>
      <w:tcPr>
        <w:tcBorders>
          <w:top w:val="nil"/>
          <w:bottom w:val="single" w:sz="8" w:space="0" w:color="4BACC6" w:themeColor="accent5"/>
        </w:tcBorders>
      </w:tcPr>
    </w:tblStylePr>
    <w:tblStylePr w:type="lastRow">
      <w:rPr>
        <w:b/>
        <w:bCs/>
        <w:color w:val="1F497D" w:themeColor="text2"/>
        <w:rFonts w:ascii="Helvetica" w:hAnsi="Helvetica" w:eastAsia="Helvetica" w:cs="Helvetica"/>
      </w:rPr>
      <w:tblPr/>
      <w:tcPr>
        <w:tcBorders>
          <w:top w:val="single" w:sz="8" w:space="0" w:color="4BACC6" w:themeColor="accent5"/>
          <w:bottom w:val="single" w:sz="8" w:space="0" w:color="4BACC6" w:themeColor="accent5"/>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F79646" w:themeColor="accent6"/>
        <w:bottom w:val="single" w:sz="8" w:space="0" w:color="F79646" w:themeColor="accent6"/>
      </w:tblBorders>
    </w:tblPr>
    <w:tblStylePr w:type="firstRow">
      <w:rPr>
        <w:rFonts w:ascii="Helvetica" w:hAnsi="Helvetica" w:eastAsia="Helvetica" w:cs="Helvetica"/>
      </w:rPr>
      <w:tblPr/>
      <w:tcPr>
        <w:tcBorders>
          <w:top w:val="nil"/>
          <w:bottom w:val="single" w:sz="8" w:space="0" w:color="F79646" w:themeColor="accent6"/>
        </w:tcBorders>
      </w:tcPr>
    </w:tblStylePr>
    <w:tblStylePr w:type="lastRow">
      <w:rPr>
        <w:b/>
        <w:bCs/>
        <w:color w:val="1F497D" w:themeColor="text2"/>
        <w:rFonts w:ascii="Helvetica" w:hAnsi="Helvetica" w:eastAsia="Helvetica" w:cs="Helvetica"/>
      </w:rPr>
      <w:tblPr/>
      <w:tcPr>
        <w:tcBorders>
          <w:top w:val="single" w:sz="8" w:space="0" w:color="F79646" w:themeColor="accent6"/>
          <w:bottom w:val="single" w:sz="8" w:space="0" w:color="F79646" w:themeColor="accent6"/>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Fonts w:ascii="Helvetica" w:hAnsi="Helvetica" w:eastAsia="Helvetica" w:cs="Helvetica"/>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Fonts w:ascii="Helvetica" w:hAnsi="Helvetica" w:eastAsia="Helvetica" w:cs="Helvetica"/>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Fonts w:ascii="Helvetica" w:hAnsi="Helvetica" w:eastAsia="Helvetica" w:cs="Helvetica"/>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Fonts w:ascii="Helvetica" w:hAnsi="Helvetica" w:eastAsia="Helvetica" w:cs="Helvetica"/>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Fonts w:ascii="Helvetica" w:hAnsi="Helvetica" w:eastAsia="Helvetica" w:cs="Helvetica"/>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Fonts w:ascii="Helvetica" w:hAnsi="Helvetica" w:eastAsia="Helvetica" w:cs="Helvetica"/>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404040" w:themeColor="text1"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7BA0CD" w:themeColor="accent1"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CF7B79" w:themeColor="accent2"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B3CC82" w:themeColor="accent3"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9F8AB9" w:themeColor="accent4"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78C0D4" w:themeColor="accent5"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F9B074" w:themeColor="accent6"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Helvetica" w:hAnsi="Helvetica" w:eastAsia="Helvetica" w:cs="Helvetica"/>
      </w:rPr>
      <w:tblPr/>
      <w:tcPr>
        <w:shd w:val="clear" w:color="auto" w:fill="E6E6E6" w:themeFill="text1"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Helvetica" w:hAnsi="Helvetica" w:eastAsia="Helvetica" w:cs="Helvetica"/>
      </w:rPr>
      <w:tblPr/>
      <w:tcPr>
        <w:shd w:val="clear" w:color="auto" w:fill="EDF2F8" w:themeFill="accent1"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Helvetica" w:hAnsi="Helvetica" w:eastAsia="Helvetica" w:cs="Helvetica"/>
      </w:rPr>
      <w:tblPr/>
      <w:tcPr>
        <w:shd w:val="clear" w:color="auto" w:fill="F8EDED" w:themeFill="accent2"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Helvetica" w:hAnsi="Helvetica" w:eastAsia="Helvetica" w:cs="Helvetica"/>
      </w:rPr>
      <w:tblPr/>
      <w:tcPr>
        <w:shd w:val="clear" w:color="auto" w:fill="F5F8EE" w:themeFill="accent3"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Helvetica" w:hAnsi="Helvetica" w:eastAsia="Helvetica" w:cs="Helvetica"/>
      </w:rPr>
      <w:tblPr/>
      <w:tcPr>
        <w:shd w:val="clear" w:color="auto" w:fill="F2EFF6" w:themeFill="accent4"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Helvetica" w:hAnsi="Helvetica" w:eastAsia="Helvetica" w:cs="Helvetica"/>
      </w:rPr>
      <w:tblPr/>
      <w:tcPr>
        <w:shd w:val="clear" w:color="auto" w:fill="EDF6F9" w:themeFill="accent5"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Helvetica" w:hAnsi="Helvetica" w:eastAsia="Helvetica" w:cs="Helvetica"/>
      </w:rPr>
      <w:tblPr/>
      <w:tcPr>
        <w:shd w:val="clear" w:color="auto" w:fill="FEF4EC" w:themeFill="accent6"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000000" w:themeFill="text1"/>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4F81BD" w:themeFill="accent1"/>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C0504D" w:themeFill="accent2"/>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9BBB59" w:themeFill="accent3"/>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8064A2" w:themeFill="accent4"/>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4BACC6" w:themeFill="accent5"/>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F79646" w:themeFill="accent6"/>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1">
    <w:name w:val="Colorful Shading Accent 1"/>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2">
    <w:name w:val="Colorful Shading Accent 2"/>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3">
    <w:name w:val="Colorful Shading Accent 3"/>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Helvetica" w:hAnsi="Helvetica" w:eastAsia="Helvetica" w:cs="Helvetica"/>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Helvetica" w:hAnsi="Helvetica" w:eastAsia="Helvetica" w:cs="Helvetica"/>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5">
    <w:name w:val="Colorful Shading Accent 5"/>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Helvetica" w:hAnsi="Helvetica" w:eastAsia="Helvetica" w:cs="Helvetica"/>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6">
    <w:name w:val="Colorful Shading Accent 6"/>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Helvetica" w:hAnsi="Helvetica" w:eastAsia="Helvetica" w:cs="Helvetica"/>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List">
    <w:name w:val="Colorful List"/>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E6E6E6" w:themeFill="text1"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EDF2F8" w:themeFill="accent1"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8EDED" w:themeFill="accent2"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5F8EE" w:themeFill="accent3"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2EFF6" w:themeFill="accent4"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EDF6F9" w:themeFill="accent5"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EF4EC" w:themeFill="accent6"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Helvetica" w:hAnsi="Helvetica" w:eastAsia="Helvetica" w:cs="Helvetica"/>
      </w:rPr>
      <w:tblPr/>
      <w:tcPr>
        <w:shd w:val="clear" w:color="auto" w:fill="999999" w:themeFill="text1" w:themeFillTint="66"/>
      </w:tcPr>
    </w:tblStylePr>
    <w:tblStylePr w:type="lastRow">
      <w:rPr>
        <w:b/>
        <w:bCs/>
        <w:color w:val="000000" w:themeColor="text1"/>
        <w:rFonts w:ascii="Helvetica" w:hAnsi="Helvetica" w:eastAsia="Helvetica" w:cs="Helvetica"/>
      </w:rPr>
      <w:tblPr/>
      <w:tcPr>
        <w:shd w:val="clear" w:color="auto" w:fill="999999" w:themeFill="text1" w:themeFillTint="66"/>
      </w:tcPr>
    </w:tblStylePr>
    <w:tblStylePr w:type="firstCol">
      <w:rPr>
        <w:color w:val="FFFFFF" w:themeColor="background1"/>
        <w:rFonts w:ascii="Helvetica" w:hAnsi="Helvetica" w:eastAsia="Helvetica" w:cs="Helvetica"/>
      </w:rPr>
      <w:tblPr/>
      <w:tcPr>
        <w:shd w:val="clear" w:color="auto" w:fill="000000" w:themeFill="text1" w:themeFillShade="BF"/>
      </w:tcPr>
    </w:tblStylePr>
    <w:tblStylePr w:type="lastCol">
      <w:rPr>
        <w:color w:val="FFFFFF" w:themeColor="background1"/>
        <w:rFonts w:ascii="Helvetica" w:hAnsi="Helvetica" w:eastAsia="Helvetica" w:cs="Helvetica"/>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Helvetica" w:hAnsi="Helvetica" w:eastAsia="Helvetica" w:cs="Helvetica"/>
      </w:rPr>
      <w:tblPr/>
      <w:tcPr>
        <w:shd w:val="clear" w:color="auto" w:fill="B8CCE4" w:themeFill="accent1" w:themeFillTint="66"/>
      </w:tcPr>
    </w:tblStylePr>
    <w:tblStylePr w:type="lastRow">
      <w:rPr>
        <w:b/>
        <w:bCs/>
        <w:color w:val="000000" w:themeColor="text1"/>
        <w:rFonts w:ascii="Helvetica" w:hAnsi="Helvetica" w:eastAsia="Helvetica" w:cs="Helvetica"/>
      </w:rPr>
      <w:tblPr/>
      <w:tcPr>
        <w:shd w:val="clear" w:color="auto" w:fill="B8CCE4" w:themeFill="accent1" w:themeFillTint="66"/>
      </w:tcPr>
    </w:tblStylePr>
    <w:tblStylePr w:type="firstCol">
      <w:rPr>
        <w:color w:val="FFFFFF" w:themeColor="background1"/>
        <w:rFonts w:ascii="Helvetica" w:hAnsi="Helvetica" w:eastAsia="Helvetica" w:cs="Helvetica"/>
      </w:rPr>
      <w:tblPr/>
      <w:tcPr>
        <w:shd w:val="clear" w:color="auto" w:fill="365F91" w:themeFill="accent1" w:themeFillShade="BF"/>
      </w:tcPr>
    </w:tblStylePr>
    <w:tblStylePr w:type="lastCol">
      <w:rPr>
        <w:color w:val="FFFFFF" w:themeColor="background1"/>
        <w:rFonts w:ascii="Helvetica" w:hAnsi="Helvetica" w:eastAsia="Helvetica" w:cs="Helvetica"/>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Helvetica" w:hAnsi="Helvetica" w:eastAsia="Helvetica" w:cs="Helvetica"/>
      </w:rPr>
      <w:tblPr/>
      <w:tcPr>
        <w:shd w:val="clear" w:color="auto" w:fill="E5B8B7" w:themeFill="accent2" w:themeFillTint="66"/>
      </w:tcPr>
    </w:tblStylePr>
    <w:tblStylePr w:type="lastRow">
      <w:rPr>
        <w:b/>
        <w:bCs/>
        <w:color w:val="000000" w:themeColor="text1"/>
        <w:rFonts w:ascii="Helvetica" w:hAnsi="Helvetica" w:eastAsia="Helvetica" w:cs="Helvetica"/>
      </w:rPr>
      <w:tblPr/>
      <w:tcPr>
        <w:shd w:val="clear" w:color="auto" w:fill="E5B8B7" w:themeFill="accent2" w:themeFillTint="66"/>
      </w:tcPr>
    </w:tblStylePr>
    <w:tblStylePr w:type="firstCol">
      <w:rPr>
        <w:color w:val="FFFFFF" w:themeColor="background1"/>
        <w:rFonts w:ascii="Helvetica" w:hAnsi="Helvetica" w:eastAsia="Helvetica" w:cs="Helvetica"/>
      </w:rPr>
      <w:tblPr/>
      <w:tcPr>
        <w:shd w:val="clear" w:color="auto" w:fill="943634" w:themeFill="accent2" w:themeFillShade="BF"/>
      </w:tcPr>
    </w:tblStylePr>
    <w:tblStylePr w:type="lastCol">
      <w:rPr>
        <w:color w:val="FFFFFF" w:themeColor="background1"/>
        <w:rFonts w:ascii="Helvetica" w:hAnsi="Helvetica" w:eastAsia="Helvetica" w:cs="Helvetica"/>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Helvetica" w:hAnsi="Helvetica" w:eastAsia="Helvetica" w:cs="Helvetica"/>
      </w:rPr>
      <w:tblPr/>
      <w:tcPr>
        <w:shd w:val="clear" w:color="auto" w:fill="D6E3BC" w:themeFill="accent3" w:themeFillTint="66"/>
      </w:tcPr>
    </w:tblStylePr>
    <w:tblStylePr w:type="lastRow">
      <w:rPr>
        <w:b/>
        <w:bCs/>
        <w:color w:val="000000" w:themeColor="text1"/>
        <w:rFonts w:ascii="Helvetica" w:hAnsi="Helvetica" w:eastAsia="Helvetica" w:cs="Helvetica"/>
      </w:rPr>
      <w:tblPr/>
      <w:tcPr>
        <w:shd w:val="clear" w:color="auto" w:fill="D6E3BC" w:themeFill="accent3" w:themeFillTint="66"/>
      </w:tcPr>
    </w:tblStylePr>
    <w:tblStylePr w:type="firstCol">
      <w:rPr>
        <w:color w:val="FFFFFF" w:themeColor="background1"/>
        <w:rFonts w:ascii="Helvetica" w:hAnsi="Helvetica" w:eastAsia="Helvetica" w:cs="Helvetica"/>
      </w:rPr>
      <w:tblPr/>
      <w:tcPr>
        <w:shd w:val="clear" w:color="auto" w:fill="76923C" w:themeFill="accent3" w:themeFillShade="BF"/>
      </w:tcPr>
    </w:tblStylePr>
    <w:tblStylePr w:type="lastCol">
      <w:rPr>
        <w:color w:val="FFFFFF" w:themeColor="background1"/>
        <w:rFonts w:ascii="Helvetica" w:hAnsi="Helvetica" w:eastAsia="Helvetica" w:cs="Helvetica"/>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Helvetica" w:hAnsi="Helvetica" w:eastAsia="Helvetica" w:cs="Helvetica"/>
      </w:rPr>
      <w:tblPr/>
      <w:tcPr>
        <w:shd w:val="clear" w:color="auto" w:fill="CCC0D9" w:themeFill="accent4" w:themeFillTint="66"/>
      </w:tcPr>
    </w:tblStylePr>
    <w:tblStylePr w:type="lastRow">
      <w:rPr>
        <w:b/>
        <w:bCs/>
        <w:color w:val="000000" w:themeColor="text1"/>
        <w:rFonts w:ascii="Helvetica" w:hAnsi="Helvetica" w:eastAsia="Helvetica" w:cs="Helvetica"/>
      </w:rPr>
      <w:tblPr/>
      <w:tcPr>
        <w:shd w:val="clear" w:color="auto" w:fill="CCC0D9" w:themeFill="accent4" w:themeFillTint="66"/>
      </w:tcPr>
    </w:tblStylePr>
    <w:tblStylePr w:type="firstCol">
      <w:rPr>
        <w:color w:val="FFFFFF" w:themeColor="background1"/>
        <w:rFonts w:ascii="Helvetica" w:hAnsi="Helvetica" w:eastAsia="Helvetica" w:cs="Helvetica"/>
      </w:rPr>
      <w:tblPr/>
      <w:tcPr>
        <w:shd w:val="clear" w:color="auto" w:fill="5F497A" w:themeFill="accent4" w:themeFillShade="BF"/>
      </w:tcPr>
    </w:tblStylePr>
    <w:tblStylePr w:type="lastCol">
      <w:rPr>
        <w:color w:val="FFFFFF" w:themeColor="background1"/>
        <w:rFonts w:ascii="Helvetica" w:hAnsi="Helvetica" w:eastAsia="Helvetica" w:cs="Helvetica"/>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Helvetica" w:hAnsi="Helvetica" w:eastAsia="Helvetica" w:cs="Helvetica"/>
      </w:rPr>
      <w:tblPr/>
      <w:tcPr>
        <w:shd w:val="clear" w:color="auto" w:fill="B6DDE8" w:themeFill="accent5" w:themeFillTint="66"/>
      </w:tcPr>
    </w:tblStylePr>
    <w:tblStylePr w:type="lastRow">
      <w:rPr>
        <w:b/>
        <w:bCs/>
        <w:color w:val="000000" w:themeColor="text1"/>
        <w:rFonts w:ascii="Helvetica" w:hAnsi="Helvetica" w:eastAsia="Helvetica" w:cs="Helvetica"/>
      </w:rPr>
      <w:tblPr/>
      <w:tcPr>
        <w:shd w:val="clear" w:color="auto" w:fill="B6DDE8" w:themeFill="accent5" w:themeFillTint="66"/>
      </w:tcPr>
    </w:tblStylePr>
    <w:tblStylePr w:type="firstCol">
      <w:rPr>
        <w:color w:val="FFFFFF" w:themeColor="background1"/>
        <w:rFonts w:ascii="Helvetica" w:hAnsi="Helvetica" w:eastAsia="Helvetica" w:cs="Helvetica"/>
      </w:rPr>
      <w:tblPr/>
      <w:tcPr>
        <w:shd w:val="clear" w:color="auto" w:fill="31849B" w:themeFill="accent5" w:themeFillShade="BF"/>
      </w:tcPr>
    </w:tblStylePr>
    <w:tblStylePr w:type="lastCol">
      <w:rPr>
        <w:color w:val="FFFFFF" w:themeColor="background1"/>
        <w:rFonts w:ascii="Helvetica" w:hAnsi="Helvetica" w:eastAsia="Helvetica" w:cs="Helvetica"/>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Helvetica" w:hAnsi="Helvetica" w:eastAsia="Helvetica" w:cs="Helvetica"/>
      </w:rPr>
      <w:tblPr/>
      <w:tcPr>
        <w:shd w:val="clear" w:color="auto" w:fill="FBD4B4" w:themeFill="accent6" w:themeFillTint="66"/>
      </w:tcPr>
    </w:tblStylePr>
    <w:tblStylePr w:type="lastRow">
      <w:rPr>
        <w:b/>
        <w:bCs/>
        <w:color w:val="000000" w:themeColor="text1"/>
        <w:rFonts w:ascii="Helvetica" w:hAnsi="Helvetica" w:eastAsia="Helvetica" w:cs="Helvetica"/>
      </w:rPr>
      <w:tblPr/>
      <w:tcPr>
        <w:shd w:val="clear" w:color="auto" w:fill="FBD4B4" w:themeFill="accent6" w:themeFillTint="66"/>
      </w:tcPr>
    </w:tblStylePr>
    <w:tblStylePr w:type="firstCol">
      <w:rPr>
        <w:color w:val="FFFFFF" w:themeColor="background1"/>
        <w:rFonts w:ascii="Helvetica" w:hAnsi="Helvetica" w:eastAsia="Helvetica" w:cs="Helvetica"/>
      </w:rPr>
      <w:tblPr/>
      <w:tcPr>
        <w:shd w:val="clear" w:color="auto" w:fill="E36C0A" w:themeFill="accent6" w:themeFillShade="BF"/>
      </w:tcPr>
    </w:tblStylePr>
    <w:tblStylePr w:type="lastCol">
      <w:rPr>
        <w:color w:val="FFFFFF" w:themeColor="background1"/>
        <w:rFonts w:ascii="Helvetica" w:hAnsi="Helvetica" w:eastAsia="Helvetica" w:cs="Helvetica"/>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spacing w:after="100"/>
    </w:pPr>
    <w:rPr>
      <w:rFonts w:ascii="Helvetica" w:hAnsi="Helvetica" w:eastAsia="Helvetica" w:cs="Helvetica"/>
      <w:color w:val="595959"/>
      <w:sz w:val="20"/>
    </w:rPr>
  </w:style>
  <w:style w:type="paragraph" w:customStyle="1" w:styleId="CaptionText">
    <w:name w:val="Caption Text"/>
    <w:rPr>
      <w:rFonts w:ascii="Helvetica" w:hAnsi="Helvetica" w:eastAsia="Helvetica" w:cs="Helvetica"/>
      <w:color w:val="44444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c.govt.nz/environment/climate-change/otago-s-future-climate" TargetMode="External"/><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fontTable" Target="fontTable.xml"/><Relationship Id="rId10" Type="http://schemas.openxmlformats.org/officeDocument/2006/relationships/hyperlink" Target="https://www.dunedin.govt.nz/council/district-plan/2nd-generation-district-plan/read-the-plan" TargetMode="External"/><Relationship Id="rId4" Type="http://schemas.openxmlformats.org/officeDocument/2006/relationships/settings" Target="settings.xml"/><Relationship Id="rId14" Type="http://schemas.openxmlformats.org/officeDocument/2006/relationships/hyperlink" Target="https://just-city.org/conceptual-model/" TargetMode="External"/><Relationship Id="rId22" Type="http://schemas.openxmlformats.org/officeDocument/2006/relationships/footer" Target="footer1.xml"/><Relationship Id="rId25" Type="http://schemas.openxmlformats.org/officeDocument/2006/relationships/header" Target="header1.xml"/><Relationship Id="rId26" Type="http://schemas.openxmlformats.org/officeDocument/2006/relationships/hyperlink" Target="https://ateliersouth.nz/#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Helvetica"/>
        <a:cs typeface="Helvetica"/>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Helvetica"/>
        <a:ea typeface="Helvetica"/>
        <a:cs typeface="Helvetica"/>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4195</Words>
  <Characters>25679</Characters>
  <Application>Microsoft Office Word</Application>
  <DocSecurity>0</DocSecurity>
  <Lines>570</Lines>
  <Paragraphs>335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Atelier South 2027 Planning Student Project Brief</dc:title>
  <dc:subject>Common Ground North Dunedin 2050</dc:subject>
  <dc:creator>Otago Polytechnic School of Architecture</dc:creator>
  <cp:keywords>Course materials, architecture, adaptive reuse, 1:50</cp:keywords>
  <dc:description/>
  <cp:lastModifiedBy/>
  <cp:revision>2</cp:revision>
  <dcterms:created xsi:type="dcterms:W3CDTF">2026-10-08T05:33:00Z</dcterms:created>
  <dcterms:modified xsi:type="dcterms:W3CDTF">2026-10-08T05:33:00Z</dcterms:modified>
  <cp:category/>
</cp:coreProperties>
</file>